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4F274301" w:rsidR="001D1372" w:rsidRPr="00E743D6" w:rsidRDefault="000D284B" w:rsidP="009B4E45">
      <w:pPr>
        <w:jc w:val="both"/>
        <w:outlineLvl w:val="0"/>
        <w:rPr>
          <w:rFonts w:asciiTheme="minorHAnsi" w:eastAsia="Calibri" w:hAnsiTheme="minorHAnsi" w:cstheme="minorHAnsi"/>
          <w:b/>
          <w:sz w:val="28"/>
          <w:szCs w:val="28"/>
          <w:lang w:eastAsia="en-US"/>
        </w:rPr>
      </w:pPr>
      <w:r w:rsidRPr="00E743D6">
        <w:rPr>
          <w:rFonts w:asciiTheme="minorHAnsi" w:eastAsia="Calibri" w:hAnsiTheme="minorHAnsi" w:cstheme="minorHAnsi"/>
          <w:b/>
          <w:sz w:val="28"/>
          <w:szCs w:val="28"/>
          <w:lang w:eastAsia="en-US"/>
        </w:rPr>
        <w:t xml:space="preserve">Příloha č. 2 zadávací </w:t>
      </w:r>
      <w:r w:rsidR="00CF603A" w:rsidRPr="00E743D6">
        <w:rPr>
          <w:rFonts w:asciiTheme="minorHAnsi" w:eastAsia="Calibri" w:hAnsiTheme="minorHAnsi" w:cstheme="minorHAnsi"/>
          <w:b/>
          <w:sz w:val="28"/>
          <w:szCs w:val="28"/>
          <w:lang w:eastAsia="en-US"/>
        </w:rPr>
        <w:t>dokumentace – Technické</w:t>
      </w:r>
      <w:r w:rsidRPr="00E743D6">
        <w:rPr>
          <w:rFonts w:asciiTheme="minorHAnsi" w:eastAsia="Calibri" w:hAnsiTheme="minorHAnsi" w:cstheme="minorHAnsi"/>
          <w:b/>
          <w:sz w:val="28"/>
          <w:szCs w:val="28"/>
          <w:lang w:eastAsia="en-US"/>
        </w:rPr>
        <w:t xml:space="preserve"> podmínky</w:t>
      </w:r>
    </w:p>
    <w:p w14:paraId="0E6B13C1" w14:textId="77777777" w:rsidR="000D284B" w:rsidRPr="00E743D6" w:rsidRDefault="000D284B" w:rsidP="009B4E45">
      <w:pPr>
        <w:jc w:val="both"/>
        <w:outlineLvl w:val="0"/>
        <w:rPr>
          <w:rFonts w:asciiTheme="minorHAnsi" w:eastAsia="Calibri" w:hAnsiTheme="minorHAnsi" w:cstheme="minorHAnsi"/>
          <w:b/>
          <w:sz w:val="28"/>
          <w:szCs w:val="28"/>
          <w:lang w:eastAsia="en-US"/>
        </w:rPr>
      </w:pPr>
    </w:p>
    <w:p w14:paraId="138FAEF4" w14:textId="5CFE13C9" w:rsidR="00F42F2C" w:rsidRPr="00E743D6" w:rsidRDefault="00F42F2C" w:rsidP="009B4E45">
      <w:pPr>
        <w:jc w:val="both"/>
        <w:outlineLvl w:val="0"/>
        <w:rPr>
          <w:rFonts w:asciiTheme="minorHAnsi" w:hAnsiTheme="minorHAnsi" w:cstheme="minorHAnsi"/>
          <w:b/>
          <w:sz w:val="28"/>
          <w:szCs w:val="28"/>
        </w:rPr>
      </w:pPr>
      <w:r w:rsidRPr="00E743D6">
        <w:rPr>
          <w:rFonts w:asciiTheme="minorHAnsi" w:hAnsiTheme="minorHAnsi" w:cstheme="minorHAnsi"/>
          <w:b/>
          <w:sz w:val="28"/>
          <w:szCs w:val="28"/>
        </w:rPr>
        <w:t xml:space="preserve">Vyplněná příloha č. </w:t>
      </w:r>
      <w:r w:rsidR="000D284B" w:rsidRPr="00E743D6">
        <w:rPr>
          <w:rFonts w:asciiTheme="minorHAnsi" w:hAnsiTheme="minorHAnsi" w:cstheme="minorHAnsi"/>
          <w:b/>
          <w:sz w:val="28"/>
          <w:szCs w:val="28"/>
        </w:rPr>
        <w:t>2</w:t>
      </w:r>
      <w:r w:rsidRPr="00E743D6">
        <w:rPr>
          <w:rFonts w:asciiTheme="minorHAnsi" w:hAnsiTheme="minorHAnsi" w:cstheme="minorHAnsi"/>
          <w:b/>
          <w:sz w:val="28"/>
          <w:szCs w:val="28"/>
        </w:rPr>
        <w:t xml:space="preserve"> </w:t>
      </w:r>
      <w:proofErr w:type="gramStart"/>
      <w:r w:rsidRPr="00E743D6">
        <w:rPr>
          <w:rFonts w:asciiTheme="minorHAnsi" w:hAnsiTheme="minorHAnsi" w:cstheme="minorHAnsi"/>
          <w:b/>
          <w:sz w:val="28"/>
          <w:szCs w:val="28"/>
        </w:rPr>
        <w:t>tvoří</w:t>
      </w:r>
      <w:proofErr w:type="gramEnd"/>
      <w:r w:rsidRPr="00E743D6">
        <w:rPr>
          <w:rFonts w:asciiTheme="minorHAnsi" w:hAnsiTheme="minorHAnsi" w:cstheme="minorHAnsi"/>
          <w:b/>
          <w:sz w:val="28"/>
          <w:szCs w:val="28"/>
        </w:rPr>
        <w:t xml:space="preserve"> nedílnou součást nabídky účastníka zadávacího řízení.</w:t>
      </w:r>
    </w:p>
    <w:p w14:paraId="1A49E9AD" w14:textId="77777777" w:rsidR="000D284B" w:rsidRPr="00E743D6" w:rsidRDefault="000D284B" w:rsidP="009B4E45">
      <w:pPr>
        <w:jc w:val="both"/>
        <w:outlineLvl w:val="0"/>
        <w:rPr>
          <w:rFonts w:asciiTheme="minorHAnsi" w:eastAsia="Calibri" w:hAnsiTheme="minorHAnsi" w:cstheme="minorHAnsi"/>
          <w:b/>
          <w:sz w:val="28"/>
          <w:szCs w:val="28"/>
          <w:lang w:eastAsia="en-US"/>
        </w:rPr>
      </w:pPr>
    </w:p>
    <w:p w14:paraId="10C15B21" w14:textId="77777777" w:rsidR="000E1014" w:rsidRPr="00E743D6" w:rsidRDefault="002B39F1" w:rsidP="00F42F2C">
      <w:pPr>
        <w:shd w:val="clear" w:color="auto" w:fill="FFD966" w:themeFill="accent4" w:themeFillTint="99"/>
        <w:jc w:val="both"/>
        <w:outlineLvl w:val="0"/>
        <w:rPr>
          <w:rFonts w:asciiTheme="minorHAnsi" w:hAnsiTheme="minorHAnsi" w:cstheme="minorHAnsi"/>
          <w:b/>
          <w:sz w:val="24"/>
        </w:rPr>
      </w:pPr>
      <w:r w:rsidRPr="00E743D6">
        <w:rPr>
          <w:rFonts w:asciiTheme="minorHAnsi" w:hAnsiTheme="minorHAnsi" w:cstheme="minorHAnsi"/>
          <w:b/>
          <w:sz w:val="24"/>
        </w:rPr>
        <w:t xml:space="preserve">Název veřejné zakázky: </w:t>
      </w:r>
    </w:p>
    <w:p w14:paraId="5D4F9C07" w14:textId="2C64E4C1" w:rsidR="00933239" w:rsidRPr="00E743D6" w:rsidRDefault="00E743D6" w:rsidP="00933239">
      <w:pPr>
        <w:pStyle w:val="Nadpis8"/>
        <w:rPr>
          <w:rFonts w:asciiTheme="minorHAnsi" w:hAnsiTheme="minorHAnsi" w:cstheme="minorHAnsi"/>
        </w:rPr>
      </w:pPr>
      <w:r w:rsidRPr="00E743D6">
        <w:rPr>
          <w:rFonts w:asciiTheme="minorHAnsi" w:hAnsiTheme="minorHAnsi" w:cstheme="minorHAnsi"/>
        </w:rPr>
        <w:t>Operační svítidla</w:t>
      </w:r>
    </w:p>
    <w:p w14:paraId="5221AABC" w14:textId="77777777" w:rsidR="00393D63" w:rsidRPr="00E743D6" w:rsidRDefault="00393D63" w:rsidP="002B39F1">
      <w:pPr>
        <w:jc w:val="both"/>
        <w:rPr>
          <w:rFonts w:asciiTheme="minorHAnsi" w:hAnsiTheme="minorHAnsi" w:cstheme="minorHAnsi"/>
          <w:b/>
          <w:bCs/>
          <w:sz w:val="24"/>
        </w:rPr>
      </w:pPr>
    </w:p>
    <w:p w14:paraId="3BC54449" w14:textId="57F43DF0" w:rsidR="00F42F2C" w:rsidRPr="00E743D6" w:rsidRDefault="00F42F2C" w:rsidP="00F42F2C">
      <w:pPr>
        <w:autoSpaceDE w:val="0"/>
        <w:autoSpaceDN w:val="0"/>
        <w:adjustRightInd w:val="0"/>
        <w:spacing w:line="276" w:lineRule="auto"/>
        <w:rPr>
          <w:rFonts w:asciiTheme="minorHAnsi" w:eastAsia="Calibri" w:hAnsiTheme="minorHAnsi" w:cstheme="minorHAnsi"/>
          <w:b/>
          <w:bCs/>
          <w:color w:val="000000"/>
          <w:sz w:val="22"/>
          <w:szCs w:val="22"/>
          <w:lang w:eastAsia="en-US"/>
        </w:rPr>
      </w:pPr>
      <w:r w:rsidRPr="00E743D6">
        <w:rPr>
          <w:rFonts w:asciiTheme="minorHAnsi" w:eastAsia="Calibri" w:hAnsiTheme="minorHAnsi" w:cstheme="minorHAnsi"/>
          <w:b/>
          <w:bCs/>
          <w:color w:val="000000"/>
          <w:sz w:val="22"/>
          <w:szCs w:val="22"/>
          <w:lang w:eastAsia="en-US"/>
        </w:rPr>
        <w:t>Podrobnosti předmětu veřejné zakázky (technické podmínky)</w:t>
      </w:r>
    </w:p>
    <w:p w14:paraId="19D97991" w14:textId="77777777" w:rsidR="00F42F2C" w:rsidRPr="00E743D6" w:rsidRDefault="00F42F2C" w:rsidP="00F42F2C">
      <w:pPr>
        <w:spacing w:line="276" w:lineRule="auto"/>
        <w:jc w:val="both"/>
        <w:rPr>
          <w:rFonts w:asciiTheme="minorHAnsi" w:hAnsiTheme="minorHAnsi" w:cstheme="minorHAnsi"/>
          <w:sz w:val="22"/>
          <w:szCs w:val="22"/>
        </w:rPr>
      </w:pPr>
      <w:r w:rsidRPr="00E743D6">
        <w:rPr>
          <w:rFonts w:asciiTheme="minorHAnsi" w:hAnsiTheme="minorHAnsi" w:cstheme="minorHAnsi"/>
          <w:sz w:val="22"/>
          <w:szCs w:val="22"/>
        </w:rPr>
        <w:t xml:space="preserve">Zadavatel vymezuje níže </w:t>
      </w:r>
      <w:r w:rsidRPr="00E743D6">
        <w:rPr>
          <w:rFonts w:asciiTheme="minorHAnsi" w:hAnsiTheme="minorHAnsi" w:cstheme="minorHAnsi"/>
          <w:b/>
          <w:sz w:val="22"/>
          <w:szCs w:val="22"/>
        </w:rPr>
        <w:t>závazné charakteristiky a požadavky</w:t>
      </w:r>
      <w:r w:rsidRPr="00E743D6">
        <w:rPr>
          <w:rFonts w:asciiTheme="minorHAnsi" w:hAnsiTheme="minorHAnsi" w:cstheme="minorHAnsi"/>
          <w:sz w:val="22"/>
          <w:szCs w:val="22"/>
        </w:rPr>
        <w:t xml:space="preserve"> na dodávku zdravotnické techniky.</w:t>
      </w:r>
    </w:p>
    <w:p w14:paraId="4719695F" w14:textId="77777777" w:rsidR="00F42F2C" w:rsidRPr="00E743D6" w:rsidRDefault="00F42F2C" w:rsidP="00F42F2C">
      <w:pPr>
        <w:pStyle w:val="Zkladntext2"/>
        <w:rPr>
          <w:rFonts w:asciiTheme="minorHAnsi" w:hAnsiTheme="minorHAnsi" w:cstheme="minorHAnsi"/>
          <w:sz w:val="22"/>
          <w:szCs w:val="22"/>
        </w:rPr>
      </w:pPr>
    </w:p>
    <w:p w14:paraId="64E4866B" w14:textId="182318A6" w:rsidR="002B39F1" w:rsidRPr="00E743D6" w:rsidRDefault="000D284B" w:rsidP="00F42F2C">
      <w:pPr>
        <w:jc w:val="both"/>
        <w:rPr>
          <w:rFonts w:asciiTheme="minorHAnsi" w:hAnsiTheme="minorHAnsi" w:cstheme="minorHAnsi"/>
          <w:sz w:val="22"/>
          <w:szCs w:val="22"/>
        </w:rPr>
      </w:pPr>
      <w:r w:rsidRPr="00E743D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134B7">
        <w:rPr>
          <w:rFonts w:asciiTheme="minorHAnsi" w:hAnsiTheme="minorHAnsi" w:cstheme="minorHAnsi"/>
          <w:sz w:val="22"/>
          <w:szCs w:val="22"/>
        </w:rPr>
        <w:t xml:space="preserve">, </w:t>
      </w:r>
      <w:r w:rsidR="00D134B7" w:rsidRPr="00D134B7">
        <w:rPr>
          <w:rFonts w:asciiTheme="minorHAnsi" w:hAnsiTheme="minorHAnsi" w:cstheme="minorHAnsi"/>
          <w:sz w:val="22"/>
          <w:szCs w:val="22"/>
        </w:rPr>
        <w:t>COŽ ZADAVATEL EXPLICITNĚ UVÁDÍ U KAŽDÉHO TAKOVÉHO ODKAZU</w:t>
      </w:r>
      <w:r w:rsidRPr="00E743D6">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Pr="00E743D6" w:rsidRDefault="008E1D92" w:rsidP="00602A33">
      <w:pPr>
        <w:suppressAutoHyphens/>
        <w:spacing w:after="160" w:line="276" w:lineRule="auto"/>
        <w:contextualSpacing/>
        <w:rPr>
          <w:rFonts w:asciiTheme="minorHAnsi" w:hAnsiTheme="minorHAnsi" w:cstheme="minorHAnsi"/>
          <w:sz w:val="22"/>
          <w:szCs w:val="22"/>
        </w:rPr>
      </w:pPr>
    </w:p>
    <w:p w14:paraId="2978C62A" w14:textId="3C471EBB" w:rsidR="00602A33" w:rsidRPr="00E743D6" w:rsidRDefault="000D284B" w:rsidP="00602A33">
      <w:pPr>
        <w:pStyle w:val="Nadpis2"/>
        <w:rPr>
          <w:rFonts w:asciiTheme="minorHAnsi" w:hAnsiTheme="minorHAnsi" w:cstheme="minorHAnsi"/>
          <w:sz w:val="28"/>
          <w:szCs w:val="28"/>
        </w:rPr>
      </w:pPr>
      <w:r w:rsidRPr="00E743D6">
        <w:rPr>
          <w:rFonts w:asciiTheme="minorHAnsi" w:hAnsiTheme="minorHAnsi" w:cstheme="minorHAnsi"/>
          <w:sz w:val="28"/>
          <w:szCs w:val="28"/>
        </w:rPr>
        <w:t xml:space="preserve">A) </w:t>
      </w:r>
      <w:r w:rsidR="00602A33" w:rsidRPr="00E743D6">
        <w:rPr>
          <w:rFonts w:asciiTheme="minorHAnsi" w:hAnsiTheme="minorHAnsi" w:cstheme="minorHAnsi"/>
          <w:sz w:val="28"/>
          <w:szCs w:val="28"/>
        </w:rPr>
        <w:t xml:space="preserve">Technické </w:t>
      </w:r>
      <w:r w:rsidR="00393D63" w:rsidRPr="00E743D6">
        <w:rPr>
          <w:rFonts w:asciiTheme="minorHAnsi" w:hAnsiTheme="minorHAnsi" w:cstheme="minorHAnsi"/>
          <w:sz w:val="28"/>
          <w:szCs w:val="28"/>
        </w:rPr>
        <w:t>parametry</w:t>
      </w:r>
    </w:p>
    <w:p w14:paraId="19571559" w14:textId="77777777" w:rsidR="00654188" w:rsidRPr="00E743D6" w:rsidRDefault="00654188" w:rsidP="00654188">
      <w:pPr>
        <w:rPr>
          <w:rFonts w:asciiTheme="minorHAnsi" w:hAnsiTheme="minorHAnsi" w:cstheme="minorHAnsi"/>
          <w:lang w:eastAsia="en-US"/>
        </w:rPr>
      </w:pPr>
    </w:p>
    <w:p w14:paraId="20D71FC2" w14:textId="77777777" w:rsidR="00E743D6" w:rsidRPr="00E743D6" w:rsidRDefault="00E743D6" w:rsidP="00E743D6">
      <w:pPr>
        <w:rPr>
          <w:rFonts w:asciiTheme="minorHAnsi" w:hAnsiTheme="minorHAnsi" w:cstheme="minorHAnsi"/>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743D6" w:rsidRPr="00E743D6" w14:paraId="20DC8E9E" w14:textId="77777777" w:rsidTr="00C27E12">
        <w:trPr>
          <w:cantSplit/>
          <w:trHeight w:val="387"/>
        </w:trPr>
        <w:tc>
          <w:tcPr>
            <w:tcW w:w="4536" w:type="dxa"/>
            <w:shd w:val="clear" w:color="auto" w:fill="BDD6EE" w:themeFill="accent1" w:themeFillTint="66"/>
            <w:vAlign w:val="center"/>
          </w:tcPr>
          <w:p w14:paraId="77EA25B9" w14:textId="77777777" w:rsidR="00E743D6" w:rsidRPr="00E743D6" w:rsidRDefault="00E743D6" w:rsidP="00C27E12">
            <w:pPr>
              <w:rPr>
                <w:rFonts w:asciiTheme="minorHAnsi" w:hAnsiTheme="minorHAnsi" w:cstheme="minorHAnsi"/>
                <w:b/>
                <w:sz w:val="28"/>
                <w:szCs w:val="28"/>
              </w:rPr>
            </w:pPr>
            <w:r w:rsidRPr="00E743D6">
              <w:rPr>
                <w:rFonts w:asciiTheme="minorHAnsi" w:hAnsiTheme="minorHAnsi" w:cstheme="minorHAnsi"/>
                <w:b/>
                <w:sz w:val="28"/>
                <w:szCs w:val="28"/>
              </w:rPr>
              <w:t>Položka ve</w:t>
            </w:r>
            <w:r w:rsidRPr="00E743D6">
              <w:rPr>
                <w:rFonts w:asciiTheme="minorHAnsi" w:hAnsiTheme="minorHAnsi" w:cstheme="minorHAnsi"/>
                <w:b/>
                <w:bCs/>
                <w:sz w:val="28"/>
                <w:szCs w:val="28"/>
              </w:rPr>
              <w:t xml:space="preserve">řejné </w:t>
            </w:r>
            <w:r w:rsidRPr="00E743D6">
              <w:rPr>
                <w:rFonts w:asciiTheme="minorHAnsi" w:hAnsiTheme="minorHAnsi" w:cstheme="minorHAnsi"/>
                <w:b/>
                <w:sz w:val="28"/>
                <w:szCs w:val="28"/>
              </w:rPr>
              <w:t>zakázky</w:t>
            </w:r>
          </w:p>
        </w:tc>
        <w:tc>
          <w:tcPr>
            <w:tcW w:w="5097" w:type="dxa"/>
            <w:gridSpan w:val="2"/>
            <w:shd w:val="clear" w:color="auto" w:fill="BDD6EE" w:themeFill="accent1" w:themeFillTint="66"/>
            <w:vAlign w:val="center"/>
          </w:tcPr>
          <w:p w14:paraId="6CB618A6" w14:textId="58EC1E4A" w:rsidR="00E743D6" w:rsidRPr="00E743D6" w:rsidRDefault="00CF603A" w:rsidP="00C27E12">
            <w:pPr>
              <w:rPr>
                <w:rFonts w:asciiTheme="minorHAnsi" w:hAnsiTheme="minorHAnsi" w:cstheme="minorHAnsi"/>
                <w:b/>
                <w:bCs/>
                <w:sz w:val="28"/>
                <w:szCs w:val="28"/>
              </w:rPr>
            </w:pPr>
            <w:r>
              <w:rPr>
                <w:rFonts w:asciiTheme="minorHAnsi" w:hAnsiTheme="minorHAnsi" w:cstheme="minorHAnsi"/>
                <w:b/>
                <w:bCs/>
                <w:sz w:val="28"/>
                <w:szCs w:val="28"/>
              </w:rPr>
              <w:t xml:space="preserve">Operační svítidlo dvouramenné - </w:t>
            </w:r>
            <w:r w:rsidR="00E743D6" w:rsidRPr="00E743D6">
              <w:rPr>
                <w:rFonts w:asciiTheme="minorHAnsi" w:hAnsiTheme="minorHAnsi" w:cstheme="minorHAnsi"/>
                <w:b/>
                <w:bCs/>
                <w:sz w:val="28"/>
                <w:szCs w:val="28"/>
              </w:rPr>
              <w:t>3 ks</w:t>
            </w:r>
          </w:p>
        </w:tc>
      </w:tr>
      <w:tr w:rsidR="00E743D6" w:rsidRPr="00E743D6" w14:paraId="4F666266" w14:textId="77777777" w:rsidTr="00C27E12">
        <w:trPr>
          <w:cantSplit/>
        </w:trPr>
        <w:tc>
          <w:tcPr>
            <w:tcW w:w="4536" w:type="dxa"/>
            <w:shd w:val="clear" w:color="auto" w:fill="F7CAAC" w:themeFill="accent2" w:themeFillTint="66"/>
          </w:tcPr>
          <w:p w14:paraId="4858160B" w14:textId="77777777" w:rsidR="00E743D6" w:rsidRPr="00E743D6" w:rsidRDefault="00E743D6" w:rsidP="00C27E12">
            <w:pPr>
              <w:pStyle w:val="Nadpis6"/>
              <w:suppressAutoHyphens w:val="0"/>
              <w:outlineLvl w:val="5"/>
              <w:rPr>
                <w:rFonts w:asciiTheme="minorHAnsi" w:eastAsia="Times New Roman" w:hAnsiTheme="minorHAnsi" w:cstheme="minorHAnsi"/>
                <w:szCs w:val="24"/>
                <w:lang w:eastAsia="cs-CZ"/>
              </w:rPr>
            </w:pPr>
            <w:r w:rsidRPr="00E743D6">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76528B3F" w14:textId="77777777" w:rsidR="00E743D6" w:rsidRPr="00E743D6" w:rsidRDefault="00E743D6" w:rsidP="00C27E12">
            <w:pPr>
              <w:rPr>
                <w:rFonts w:asciiTheme="minorHAnsi" w:hAnsiTheme="minorHAnsi" w:cstheme="minorHAnsi"/>
                <w:b/>
                <w:sz w:val="22"/>
              </w:rPr>
            </w:pPr>
            <w:r w:rsidRPr="00E743D6">
              <w:rPr>
                <w:rFonts w:asciiTheme="minorHAnsi" w:hAnsiTheme="minorHAnsi" w:cstheme="minorHAnsi"/>
                <w:b/>
                <w:sz w:val="22"/>
              </w:rPr>
              <w:t>Splnění požadavku ANO/NE</w:t>
            </w:r>
          </w:p>
        </w:tc>
        <w:tc>
          <w:tcPr>
            <w:tcW w:w="3821" w:type="dxa"/>
            <w:shd w:val="clear" w:color="auto" w:fill="F7CAAC" w:themeFill="accent2" w:themeFillTint="66"/>
          </w:tcPr>
          <w:p w14:paraId="57B4D543" w14:textId="77777777" w:rsidR="00E743D6" w:rsidRPr="00E743D6" w:rsidRDefault="00E743D6" w:rsidP="00C27E12">
            <w:pPr>
              <w:rPr>
                <w:rFonts w:asciiTheme="minorHAnsi" w:hAnsiTheme="minorHAnsi" w:cstheme="minorHAnsi"/>
                <w:b/>
                <w:sz w:val="22"/>
              </w:rPr>
            </w:pPr>
            <w:r w:rsidRPr="00E743D6">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E743D6" w:rsidRPr="00E743D6" w14:paraId="3E706529" w14:textId="77777777" w:rsidTr="00C27E12">
        <w:trPr>
          <w:cantSplit/>
        </w:trPr>
        <w:tc>
          <w:tcPr>
            <w:tcW w:w="4536" w:type="dxa"/>
            <w:shd w:val="clear" w:color="auto" w:fill="auto"/>
          </w:tcPr>
          <w:p w14:paraId="25D9D4F3"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3 ks operačních svítidel dvouramenných, stropních</w:t>
            </w:r>
          </w:p>
        </w:tc>
        <w:tc>
          <w:tcPr>
            <w:tcW w:w="1276" w:type="dxa"/>
            <w:shd w:val="clear" w:color="auto" w:fill="auto"/>
            <w:vAlign w:val="center"/>
          </w:tcPr>
          <w:p w14:paraId="30CB255A"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7C64B493"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78B7BB5" w14:textId="77777777" w:rsidTr="00C27E12">
        <w:trPr>
          <w:cantSplit/>
        </w:trPr>
        <w:tc>
          <w:tcPr>
            <w:tcW w:w="4536" w:type="dxa"/>
            <w:shd w:val="clear" w:color="auto" w:fill="auto"/>
          </w:tcPr>
          <w:p w14:paraId="78E5B62D"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iCs/>
                <w:color w:val="00000A"/>
                <w:sz w:val="22"/>
                <w:szCs w:val="22"/>
              </w:rPr>
              <w:t>příprava pro HD kamerový systém v satelitním světle/alternativně je možno dodat světla přímo s kamerou</w:t>
            </w:r>
          </w:p>
        </w:tc>
        <w:tc>
          <w:tcPr>
            <w:tcW w:w="1276" w:type="dxa"/>
            <w:shd w:val="clear" w:color="auto" w:fill="auto"/>
            <w:vAlign w:val="center"/>
          </w:tcPr>
          <w:p w14:paraId="1F8AC5D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29D4E61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746B34A" w14:textId="77777777" w:rsidTr="00C27E12">
        <w:trPr>
          <w:cantSplit/>
        </w:trPr>
        <w:tc>
          <w:tcPr>
            <w:tcW w:w="4536" w:type="dxa"/>
            <w:shd w:val="clear" w:color="auto" w:fill="auto"/>
          </w:tcPr>
          <w:p w14:paraId="6D15C4EA"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sz w:val="22"/>
                <w:szCs w:val="22"/>
              </w:rPr>
              <w:t>možnost otáčení svítidla o 360° - bez dorazové provedení</w:t>
            </w:r>
          </w:p>
        </w:tc>
        <w:tc>
          <w:tcPr>
            <w:tcW w:w="1276" w:type="dxa"/>
            <w:shd w:val="clear" w:color="auto" w:fill="auto"/>
            <w:vAlign w:val="center"/>
          </w:tcPr>
          <w:p w14:paraId="7730300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0EAE7EE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B84162C" w14:textId="77777777" w:rsidTr="00C27E12">
        <w:trPr>
          <w:cantSplit/>
        </w:trPr>
        <w:tc>
          <w:tcPr>
            <w:tcW w:w="4536" w:type="dxa"/>
            <w:shd w:val="clear" w:color="auto" w:fill="auto"/>
          </w:tcPr>
          <w:p w14:paraId="4E58FC24" w14:textId="77777777" w:rsidR="00E743D6" w:rsidRPr="00E743D6" w:rsidRDefault="00E743D6" w:rsidP="00C27E12">
            <w:pPr>
              <w:rPr>
                <w:rFonts w:asciiTheme="minorHAnsi" w:hAnsiTheme="minorHAnsi" w:cstheme="minorHAnsi"/>
                <w:b/>
                <w:bCs/>
                <w:sz w:val="22"/>
                <w:szCs w:val="22"/>
              </w:rPr>
            </w:pPr>
            <w:r w:rsidRPr="00E743D6">
              <w:rPr>
                <w:rFonts w:asciiTheme="minorHAnsi" w:hAnsiTheme="minorHAnsi" w:cstheme="minorHAnsi"/>
                <w:sz w:val="22"/>
                <w:szCs w:val="22"/>
              </w:rPr>
              <w:t>napájení 230 V, 50/60 HZ</w:t>
            </w:r>
          </w:p>
        </w:tc>
        <w:tc>
          <w:tcPr>
            <w:tcW w:w="1276" w:type="dxa"/>
            <w:shd w:val="clear" w:color="auto" w:fill="auto"/>
            <w:vAlign w:val="center"/>
          </w:tcPr>
          <w:p w14:paraId="46CDDE40" w14:textId="77777777" w:rsidR="00E743D6" w:rsidRPr="00E743D6" w:rsidRDefault="00E743D6" w:rsidP="00C27E12">
            <w:pPr>
              <w:jc w:val="center"/>
              <w:rPr>
                <w:rFonts w:asciiTheme="minorHAnsi" w:hAnsiTheme="minorHAnsi" w:cstheme="minorHAnsi"/>
                <w:color w:val="FF0000"/>
                <w:szCs w:val="20"/>
              </w:rPr>
            </w:pPr>
          </w:p>
        </w:tc>
        <w:tc>
          <w:tcPr>
            <w:tcW w:w="3821" w:type="dxa"/>
            <w:shd w:val="clear" w:color="auto" w:fill="auto"/>
            <w:vAlign w:val="center"/>
          </w:tcPr>
          <w:p w14:paraId="62D409AD" w14:textId="77777777" w:rsidR="00E743D6" w:rsidRPr="00E743D6" w:rsidRDefault="00E743D6" w:rsidP="00C27E12">
            <w:pPr>
              <w:jc w:val="center"/>
              <w:rPr>
                <w:rFonts w:asciiTheme="minorHAnsi" w:hAnsiTheme="minorHAnsi" w:cstheme="minorHAnsi"/>
                <w:color w:val="FF0000"/>
                <w:szCs w:val="20"/>
              </w:rPr>
            </w:pPr>
          </w:p>
        </w:tc>
      </w:tr>
      <w:tr w:rsidR="00E743D6" w:rsidRPr="00E743D6" w14:paraId="625844D3" w14:textId="77777777" w:rsidTr="00C27E12">
        <w:trPr>
          <w:cantSplit/>
        </w:trPr>
        <w:tc>
          <w:tcPr>
            <w:tcW w:w="4536" w:type="dxa"/>
            <w:shd w:val="clear" w:color="auto" w:fill="auto"/>
          </w:tcPr>
          <w:p w14:paraId="15539E82" w14:textId="77777777" w:rsidR="00E743D6" w:rsidRPr="00E743D6" w:rsidRDefault="00E743D6" w:rsidP="00C27E12">
            <w:pPr>
              <w:tabs>
                <w:tab w:val="left" w:pos="2955"/>
              </w:tabs>
              <w:rPr>
                <w:rFonts w:asciiTheme="minorHAnsi" w:hAnsiTheme="minorHAnsi" w:cstheme="minorHAnsi"/>
                <w:sz w:val="22"/>
                <w:szCs w:val="22"/>
              </w:rPr>
            </w:pPr>
            <w:r w:rsidRPr="00E743D6">
              <w:rPr>
                <w:rFonts w:asciiTheme="minorHAnsi" w:hAnsiTheme="minorHAnsi" w:cstheme="minorHAnsi"/>
                <w:sz w:val="22"/>
                <w:szCs w:val="22"/>
              </w:rPr>
              <w:t>stávající zálohování světel je na 24 V DC</w:t>
            </w:r>
          </w:p>
        </w:tc>
        <w:tc>
          <w:tcPr>
            <w:tcW w:w="1276" w:type="dxa"/>
            <w:shd w:val="clear" w:color="auto" w:fill="auto"/>
            <w:vAlign w:val="center"/>
          </w:tcPr>
          <w:p w14:paraId="43F492E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18B4922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2F1CA9FD" w14:textId="77777777" w:rsidTr="00C27E12">
        <w:trPr>
          <w:cantSplit/>
        </w:trPr>
        <w:tc>
          <w:tcPr>
            <w:tcW w:w="4536" w:type="dxa"/>
            <w:shd w:val="clear" w:color="auto" w:fill="auto"/>
          </w:tcPr>
          <w:p w14:paraId="6F553E3F"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sz w:val="22"/>
                <w:szCs w:val="22"/>
              </w:rPr>
              <w:t>životnost min. 50 000 hodin</w:t>
            </w:r>
          </w:p>
        </w:tc>
        <w:tc>
          <w:tcPr>
            <w:tcW w:w="1276" w:type="dxa"/>
            <w:shd w:val="clear" w:color="auto" w:fill="auto"/>
            <w:vAlign w:val="center"/>
          </w:tcPr>
          <w:p w14:paraId="3441F0CC"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60BF89F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7910F6C" w14:textId="77777777" w:rsidTr="00C27E12">
        <w:trPr>
          <w:cantSplit/>
        </w:trPr>
        <w:tc>
          <w:tcPr>
            <w:tcW w:w="4536" w:type="dxa"/>
            <w:shd w:val="clear" w:color="auto" w:fill="auto"/>
          </w:tcPr>
          <w:p w14:paraId="79B21FE8"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sz w:val="22"/>
                <w:szCs w:val="22"/>
              </w:rPr>
              <w:t>výškově stavitelné, naklápěcí, otáčecí</w:t>
            </w:r>
          </w:p>
        </w:tc>
        <w:tc>
          <w:tcPr>
            <w:tcW w:w="1276" w:type="dxa"/>
            <w:shd w:val="clear" w:color="auto" w:fill="auto"/>
            <w:vAlign w:val="center"/>
          </w:tcPr>
          <w:p w14:paraId="417EEEA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3D977C8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52D7A1F" w14:textId="77777777" w:rsidTr="00C27E12">
        <w:trPr>
          <w:cantSplit/>
        </w:trPr>
        <w:tc>
          <w:tcPr>
            <w:tcW w:w="4536" w:type="dxa"/>
            <w:shd w:val="clear" w:color="auto" w:fill="auto"/>
          </w:tcPr>
          <w:p w14:paraId="13098DE9"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sz w:val="22"/>
                <w:szCs w:val="22"/>
              </w:rPr>
              <w:t>snadné čištění a dezinfekce svítidel</w:t>
            </w:r>
          </w:p>
        </w:tc>
        <w:tc>
          <w:tcPr>
            <w:tcW w:w="1276" w:type="dxa"/>
            <w:shd w:val="clear" w:color="auto" w:fill="auto"/>
            <w:vAlign w:val="center"/>
          </w:tcPr>
          <w:p w14:paraId="7095D7D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3F8750A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1DED1B2" w14:textId="77777777" w:rsidTr="00C27E12">
        <w:trPr>
          <w:cantSplit/>
        </w:trPr>
        <w:tc>
          <w:tcPr>
            <w:tcW w:w="9633" w:type="dxa"/>
            <w:gridSpan w:val="3"/>
            <w:shd w:val="clear" w:color="auto" w:fill="BDD6EE" w:themeFill="accent1" w:themeFillTint="66"/>
          </w:tcPr>
          <w:p w14:paraId="7CB2C93B" w14:textId="77777777" w:rsidR="00E743D6" w:rsidRPr="00CF603A" w:rsidRDefault="00E743D6" w:rsidP="00C27E12">
            <w:pPr>
              <w:rPr>
                <w:rFonts w:asciiTheme="minorHAnsi" w:hAnsiTheme="minorHAnsi" w:cstheme="minorHAnsi"/>
                <w:color w:val="FF0000"/>
                <w:sz w:val="24"/>
              </w:rPr>
            </w:pPr>
            <w:r w:rsidRPr="00CF603A">
              <w:rPr>
                <w:rFonts w:asciiTheme="minorHAnsi" w:hAnsiTheme="minorHAnsi" w:cstheme="minorHAnsi"/>
                <w:b/>
                <w:bCs/>
                <w:color w:val="00000A"/>
                <w:sz w:val="24"/>
              </w:rPr>
              <w:t>Hlavní svítidlo:</w:t>
            </w:r>
          </w:p>
        </w:tc>
      </w:tr>
      <w:tr w:rsidR="00E743D6" w:rsidRPr="00E743D6" w14:paraId="19C3EAFF" w14:textId="77777777" w:rsidTr="00C27E12">
        <w:trPr>
          <w:cantSplit/>
        </w:trPr>
        <w:tc>
          <w:tcPr>
            <w:tcW w:w="4536" w:type="dxa"/>
            <w:shd w:val="clear" w:color="auto" w:fill="auto"/>
          </w:tcPr>
          <w:p w14:paraId="0C1F7DD9" w14:textId="77777777" w:rsidR="00E743D6" w:rsidRPr="00E743D6" w:rsidRDefault="00E743D6" w:rsidP="00C27E12">
            <w:pPr>
              <w:rPr>
                <w:rFonts w:asciiTheme="minorHAnsi" w:hAnsiTheme="minorHAnsi" w:cstheme="minorHAnsi"/>
                <w:b/>
                <w:bCs/>
                <w:sz w:val="22"/>
                <w:szCs w:val="22"/>
              </w:rPr>
            </w:pPr>
            <w:r w:rsidRPr="00E743D6">
              <w:rPr>
                <w:rFonts w:asciiTheme="minorHAnsi" w:hAnsiTheme="minorHAnsi" w:cstheme="minorHAnsi"/>
                <w:color w:val="00000A"/>
                <w:sz w:val="22"/>
                <w:szCs w:val="22"/>
              </w:rPr>
              <w:t xml:space="preserve">intenzita osvětlení ve vzdálenosti 1 m min. 160 000 </w:t>
            </w:r>
            <w:proofErr w:type="spellStart"/>
            <w:r w:rsidRPr="00E743D6">
              <w:rPr>
                <w:rFonts w:asciiTheme="minorHAnsi" w:hAnsiTheme="minorHAnsi" w:cstheme="minorHAnsi"/>
                <w:color w:val="00000A"/>
                <w:sz w:val="22"/>
                <w:szCs w:val="22"/>
              </w:rPr>
              <w:t>lx</w:t>
            </w:r>
            <w:proofErr w:type="spellEnd"/>
            <w:r w:rsidRPr="00E743D6">
              <w:rPr>
                <w:rFonts w:asciiTheme="minorHAnsi" w:hAnsiTheme="minorHAnsi" w:cstheme="minorHAnsi"/>
                <w:color w:val="00000A"/>
                <w:sz w:val="22"/>
                <w:szCs w:val="22"/>
              </w:rPr>
              <w:t xml:space="preserve"> </w:t>
            </w:r>
          </w:p>
        </w:tc>
        <w:tc>
          <w:tcPr>
            <w:tcW w:w="1276" w:type="dxa"/>
            <w:shd w:val="clear" w:color="auto" w:fill="auto"/>
          </w:tcPr>
          <w:p w14:paraId="2F2B9BC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37036EF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8316D87" w14:textId="77777777" w:rsidTr="00C27E12">
        <w:trPr>
          <w:cantSplit/>
        </w:trPr>
        <w:tc>
          <w:tcPr>
            <w:tcW w:w="4536" w:type="dxa"/>
            <w:shd w:val="clear" w:color="auto" w:fill="auto"/>
          </w:tcPr>
          <w:p w14:paraId="0C1AEB24"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světlo s barevnou teplotou min. 3100 a max. 5000°K</w:t>
            </w:r>
          </w:p>
        </w:tc>
        <w:tc>
          <w:tcPr>
            <w:tcW w:w="1276" w:type="dxa"/>
            <w:shd w:val="clear" w:color="auto" w:fill="auto"/>
          </w:tcPr>
          <w:p w14:paraId="7FBB87E2"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5858F81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0AB6B6CA" w14:textId="77777777" w:rsidTr="00C27E12">
        <w:trPr>
          <w:cantSplit/>
        </w:trPr>
        <w:tc>
          <w:tcPr>
            <w:tcW w:w="4536" w:type="dxa"/>
            <w:shd w:val="clear" w:color="auto" w:fill="auto"/>
          </w:tcPr>
          <w:p w14:paraId="4B43CD94"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lastRenderedPageBreak/>
              <w:t xml:space="preserve">index podání barev </w:t>
            </w:r>
            <w:proofErr w:type="spellStart"/>
            <w:r w:rsidRPr="00E743D6">
              <w:rPr>
                <w:rFonts w:asciiTheme="minorHAnsi" w:hAnsiTheme="minorHAnsi" w:cstheme="minorHAnsi"/>
                <w:color w:val="00000A"/>
                <w:sz w:val="22"/>
                <w:szCs w:val="22"/>
              </w:rPr>
              <w:t>Ra</w:t>
            </w:r>
            <w:proofErr w:type="spellEnd"/>
            <w:r w:rsidRPr="00E743D6">
              <w:rPr>
                <w:rFonts w:asciiTheme="minorHAnsi" w:hAnsiTheme="minorHAnsi" w:cstheme="minorHAnsi"/>
                <w:color w:val="00000A"/>
                <w:sz w:val="22"/>
                <w:szCs w:val="22"/>
              </w:rPr>
              <w:t xml:space="preserve"> min. 95 </w:t>
            </w:r>
          </w:p>
        </w:tc>
        <w:tc>
          <w:tcPr>
            <w:tcW w:w="1276" w:type="dxa"/>
            <w:shd w:val="clear" w:color="auto" w:fill="auto"/>
          </w:tcPr>
          <w:p w14:paraId="03327213"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14EE512"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079117BF" w14:textId="77777777" w:rsidTr="00C27E12">
        <w:trPr>
          <w:cantSplit/>
        </w:trPr>
        <w:tc>
          <w:tcPr>
            <w:tcW w:w="4536" w:type="dxa"/>
            <w:shd w:val="clear" w:color="auto" w:fill="auto"/>
          </w:tcPr>
          <w:p w14:paraId="1E8F264C"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 xml:space="preserve">hloubka osvětlení min. 950 mm </w:t>
            </w:r>
          </w:p>
        </w:tc>
        <w:tc>
          <w:tcPr>
            <w:tcW w:w="1276" w:type="dxa"/>
            <w:shd w:val="clear" w:color="auto" w:fill="auto"/>
          </w:tcPr>
          <w:p w14:paraId="74BCECF3"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0EDB211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1AF8EEFC" w14:textId="77777777" w:rsidTr="00C27E12">
        <w:trPr>
          <w:cantSplit/>
        </w:trPr>
        <w:tc>
          <w:tcPr>
            <w:tcW w:w="4536" w:type="dxa"/>
            <w:shd w:val="clear" w:color="auto" w:fill="auto"/>
          </w:tcPr>
          <w:p w14:paraId="6448AA30"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průměr světelného pole ve vzdálenosti 1 m nastavitelný min. 175 a max. 410 mm</w:t>
            </w:r>
          </w:p>
        </w:tc>
        <w:tc>
          <w:tcPr>
            <w:tcW w:w="1276" w:type="dxa"/>
            <w:shd w:val="clear" w:color="auto" w:fill="auto"/>
          </w:tcPr>
          <w:p w14:paraId="52B5EF4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28A9F3C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70D8A4D" w14:textId="77777777" w:rsidTr="00C27E12">
        <w:trPr>
          <w:cantSplit/>
        </w:trPr>
        <w:tc>
          <w:tcPr>
            <w:tcW w:w="4536" w:type="dxa"/>
            <w:shd w:val="clear" w:color="auto" w:fill="auto"/>
          </w:tcPr>
          <w:p w14:paraId="5AF4F20B"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samostatně regulovatelná intenzita min. v rozmezí 30-100 % a průměr světelného pole</w:t>
            </w:r>
          </w:p>
        </w:tc>
        <w:tc>
          <w:tcPr>
            <w:tcW w:w="1276" w:type="dxa"/>
            <w:shd w:val="clear" w:color="auto" w:fill="auto"/>
          </w:tcPr>
          <w:p w14:paraId="01F6683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6507CB42"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61152E2" w14:textId="77777777" w:rsidTr="00C27E12">
        <w:trPr>
          <w:cantSplit/>
        </w:trPr>
        <w:tc>
          <w:tcPr>
            <w:tcW w:w="4536" w:type="dxa"/>
            <w:shd w:val="clear" w:color="auto" w:fill="auto"/>
          </w:tcPr>
          <w:p w14:paraId="5D7FAF52"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 xml:space="preserve">funkce minimálního světelného toku pro </w:t>
            </w:r>
            <w:r w:rsidRPr="00E743D6">
              <w:rPr>
                <w:rFonts w:asciiTheme="minorHAnsi" w:hAnsiTheme="minorHAnsi" w:cstheme="minorHAnsi"/>
                <w:sz w:val="22"/>
                <w:szCs w:val="22"/>
              </w:rPr>
              <w:t>endoskopii (5-10 %)</w:t>
            </w:r>
          </w:p>
        </w:tc>
        <w:tc>
          <w:tcPr>
            <w:tcW w:w="1276" w:type="dxa"/>
            <w:shd w:val="clear" w:color="auto" w:fill="auto"/>
          </w:tcPr>
          <w:p w14:paraId="0675C6A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6F53347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05FE9F3B" w14:textId="77777777" w:rsidTr="00C27E12">
        <w:trPr>
          <w:cantSplit/>
        </w:trPr>
        <w:tc>
          <w:tcPr>
            <w:tcW w:w="4536" w:type="dxa"/>
            <w:shd w:val="clear" w:color="auto" w:fill="auto"/>
          </w:tcPr>
          <w:p w14:paraId="41A5A036"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ovládání na dotykovém displeji na svítidle – intenzita osvětlení, průměr světelného pole, endoskopický režim</w:t>
            </w:r>
          </w:p>
        </w:tc>
        <w:tc>
          <w:tcPr>
            <w:tcW w:w="1276" w:type="dxa"/>
            <w:shd w:val="clear" w:color="auto" w:fill="auto"/>
          </w:tcPr>
          <w:p w14:paraId="0A0017F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0A49BED"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5DA1A2F" w14:textId="77777777" w:rsidTr="00C27E12">
        <w:trPr>
          <w:cantSplit/>
        </w:trPr>
        <w:tc>
          <w:tcPr>
            <w:tcW w:w="4536" w:type="dxa"/>
            <w:shd w:val="clear" w:color="auto" w:fill="auto"/>
          </w:tcPr>
          <w:p w14:paraId="142F3C87"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design k zajištění laminárního proudění</w:t>
            </w:r>
          </w:p>
        </w:tc>
        <w:tc>
          <w:tcPr>
            <w:tcW w:w="1276" w:type="dxa"/>
            <w:shd w:val="clear" w:color="auto" w:fill="auto"/>
          </w:tcPr>
          <w:p w14:paraId="7331D35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5984C72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0C899BA" w14:textId="77777777" w:rsidTr="00C27E12">
        <w:trPr>
          <w:cantSplit/>
        </w:trPr>
        <w:tc>
          <w:tcPr>
            <w:tcW w:w="4536" w:type="dxa"/>
            <w:shd w:val="clear" w:color="auto" w:fill="auto"/>
          </w:tcPr>
          <w:p w14:paraId="2B2B5B30"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 xml:space="preserve">součástí svítidla je dodání 3 ks </w:t>
            </w:r>
            <w:proofErr w:type="spellStart"/>
            <w:r w:rsidRPr="00E743D6">
              <w:rPr>
                <w:rFonts w:asciiTheme="minorHAnsi" w:hAnsiTheme="minorHAnsi" w:cstheme="minorHAnsi"/>
                <w:color w:val="00000A"/>
                <w:sz w:val="22"/>
                <w:szCs w:val="22"/>
              </w:rPr>
              <w:t>autoklávovatelné</w:t>
            </w:r>
            <w:proofErr w:type="spellEnd"/>
            <w:r w:rsidRPr="00E743D6">
              <w:rPr>
                <w:rFonts w:asciiTheme="minorHAnsi" w:hAnsiTheme="minorHAnsi" w:cstheme="minorHAnsi"/>
                <w:color w:val="00000A"/>
                <w:sz w:val="22"/>
                <w:szCs w:val="22"/>
              </w:rPr>
              <w:t xml:space="preserve"> vyměnitelné rukojeti pro jeden satelit, s možností využití u ostatních svítidel </w:t>
            </w:r>
          </w:p>
        </w:tc>
        <w:tc>
          <w:tcPr>
            <w:tcW w:w="1276" w:type="dxa"/>
            <w:shd w:val="clear" w:color="auto" w:fill="auto"/>
          </w:tcPr>
          <w:p w14:paraId="3955F94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324A205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9CE0537" w14:textId="77777777" w:rsidTr="00C27E12">
        <w:trPr>
          <w:cantSplit/>
        </w:trPr>
        <w:tc>
          <w:tcPr>
            <w:tcW w:w="4536" w:type="dxa"/>
            <w:shd w:val="clear" w:color="auto" w:fill="auto"/>
          </w:tcPr>
          <w:p w14:paraId="0ABE5DC6" w14:textId="77777777" w:rsidR="00E743D6" w:rsidRPr="00E743D6" w:rsidRDefault="00E743D6" w:rsidP="00C27E12">
            <w:pPr>
              <w:rPr>
                <w:rFonts w:asciiTheme="minorHAnsi" w:hAnsiTheme="minorHAnsi" w:cstheme="minorHAnsi"/>
                <w:sz w:val="22"/>
                <w:szCs w:val="22"/>
              </w:rPr>
            </w:pPr>
            <w:r w:rsidRPr="00E743D6">
              <w:rPr>
                <w:rFonts w:asciiTheme="minorHAnsi" w:hAnsiTheme="minorHAnsi" w:cstheme="minorHAnsi"/>
                <w:color w:val="00000A"/>
                <w:sz w:val="22"/>
                <w:szCs w:val="22"/>
              </w:rPr>
              <w:t>nástěnný ovládací panel pro svítidlo</w:t>
            </w:r>
          </w:p>
        </w:tc>
        <w:tc>
          <w:tcPr>
            <w:tcW w:w="1276" w:type="dxa"/>
            <w:shd w:val="clear" w:color="auto" w:fill="auto"/>
          </w:tcPr>
          <w:p w14:paraId="4420294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20DD6DE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16CC7C68" w14:textId="77777777" w:rsidTr="00C27E12">
        <w:trPr>
          <w:cantSplit/>
        </w:trPr>
        <w:tc>
          <w:tcPr>
            <w:tcW w:w="4536" w:type="dxa"/>
            <w:shd w:val="clear" w:color="auto" w:fill="BDD6EE" w:themeFill="accent1" w:themeFillTint="66"/>
          </w:tcPr>
          <w:p w14:paraId="1FAB0811" w14:textId="77777777" w:rsidR="00E743D6" w:rsidRPr="00CF603A" w:rsidRDefault="00E743D6" w:rsidP="00C27E12">
            <w:pPr>
              <w:rPr>
                <w:rFonts w:asciiTheme="minorHAnsi" w:hAnsiTheme="minorHAnsi" w:cstheme="minorHAnsi"/>
                <w:b/>
                <w:bCs/>
                <w:sz w:val="24"/>
              </w:rPr>
            </w:pPr>
            <w:r w:rsidRPr="00CF603A">
              <w:rPr>
                <w:rFonts w:asciiTheme="minorHAnsi" w:hAnsiTheme="minorHAnsi" w:cstheme="minorHAnsi"/>
                <w:b/>
                <w:color w:val="00000A"/>
                <w:sz w:val="24"/>
              </w:rPr>
              <w:t>Satelitní svítidlo</w:t>
            </w:r>
            <w:r w:rsidRPr="00CF603A">
              <w:rPr>
                <w:rFonts w:asciiTheme="minorHAnsi" w:hAnsiTheme="minorHAnsi" w:cstheme="minorHAnsi"/>
                <w:color w:val="00000A"/>
                <w:sz w:val="24"/>
              </w:rPr>
              <w:t>:</w:t>
            </w:r>
          </w:p>
        </w:tc>
        <w:tc>
          <w:tcPr>
            <w:tcW w:w="1276" w:type="dxa"/>
            <w:shd w:val="clear" w:color="auto" w:fill="BDD6EE" w:themeFill="accent1" w:themeFillTint="66"/>
            <w:vAlign w:val="center"/>
          </w:tcPr>
          <w:p w14:paraId="7F613C07" w14:textId="77777777" w:rsidR="00E743D6" w:rsidRPr="00E743D6" w:rsidRDefault="00E743D6" w:rsidP="00C27E12">
            <w:pPr>
              <w:jc w:val="center"/>
              <w:rPr>
                <w:rFonts w:asciiTheme="minorHAnsi" w:hAnsiTheme="minorHAnsi" w:cstheme="minorHAnsi"/>
                <w:color w:val="FF0000"/>
                <w:szCs w:val="20"/>
              </w:rPr>
            </w:pPr>
          </w:p>
        </w:tc>
        <w:tc>
          <w:tcPr>
            <w:tcW w:w="3821" w:type="dxa"/>
            <w:shd w:val="clear" w:color="auto" w:fill="BDD6EE" w:themeFill="accent1" w:themeFillTint="66"/>
            <w:vAlign w:val="center"/>
          </w:tcPr>
          <w:p w14:paraId="5048E02A" w14:textId="77777777" w:rsidR="00E743D6" w:rsidRPr="00E743D6" w:rsidRDefault="00E743D6" w:rsidP="00C27E12">
            <w:pPr>
              <w:jc w:val="center"/>
              <w:rPr>
                <w:rFonts w:asciiTheme="minorHAnsi" w:hAnsiTheme="minorHAnsi" w:cstheme="minorHAnsi"/>
                <w:color w:val="FF0000"/>
                <w:szCs w:val="20"/>
              </w:rPr>
            </w:pPr>
          </w:p>
        </w:tc>
      </w:tr>
      <w:tr w:rsidR="00E743D6" w:rsidRPr="00E743D6" w14:paraId="0D98704F" w14:textId="77777777" w:rsidTr="00C27E12">
        <w:trPr>
          <w:cantSplit/>
        </w:trPr>
        <w:tc>
          <w:tcPr>
            <w:tcW w:w="4536" w:type="dxa"/>
            <w:shd w:val="clear" w:color="auto" w:fill="auto"/>
          </w:tcPr>
          <w:p w14:paraId="3DCD70C2"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intenzita osvětlení ve vzdálenosti 1 m min. 130.000 </w:t>
            </w:r>
            <w:proofErr w:type="spellStart"/>
            <w:r w:rsidRPr="00CF603A">
              <w:rPr>
                <w:rFonts w:asciiTheme="minorHAnsi" w:hAnsiTheme="minorHAnsi" w:cstheme="minorHAnsi"/>
                <w:color w:val="00000A"/>
                <w:sz w:val="22"/>
                <w:szCs w:val="22"/>
              </w:rPr>
              <w:t>lx</w:t>
            </w:r>
            <w:proofErr w:type="spellEnd"/>
            <w:r w:rsidRPr="00CF603A">
              <w:rPr>
                <w:rFonts w:asciiTheme="minorHAnsi" w:hAnsiTheme="minorHAnsi" w:cstheme="minorHAnsi"/>
                <w:color w:val="00000A"/>
                <w:sz w:val="22"/>
                <w:szCs w:val="22"/>
              </w:rPr>
              <w:t xml:space="preserve"> </w:t>
            </w:r>
          </w:p>
        </w:tc>
        <w:tc>
          <w:tcPr>
            <w:tcW w:w="1276" w:type="dxa"/>
            <w:shd w:val="clear" w:color="auto" w:fill="auto"/>
          </w:tcPr>
          <w:p w14:paraId="0D6B873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712E059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1ADCC0CE" w14:textId="77777777" w:rsidTr="00C27E12">
        <w:trPr>
          <w:cantSplit/>
        </w:trPr>
        <w:tc>
          <w:tcPr>
            <w:tcW w:w="4536" w:type="dxa"/>
            <w:shd w:val="clear" w:color="auto" w:fill="auto"/>
          </w:tcPr>
          <w:p w14:paraId="2C193814"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světlo s barevnou teplotou min. 3100 a max. 5000 °K</w:t>
            </w:r>
          </w:p>
        </w:tc>
        <w:tc>
          <w:tcPr>
            <w:tcW w:w="1276" w:type="dxa"/>
            <w:shd w:val="clear" w:color="auto" w:fill="auto"/>
          </w:tcPr>
          <w:p w14:paraId="5E8925A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E75DE4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6BEEC40" w14:textId="77777777" w:rsidTr="00C27E12">
        <w:trPr>
          <w:cantSplit/>
        </w:trPr>
        <w:tc>
          <w:tcPr>
            <w:tcW w:w="4536" w:type="dxa"/>
            <w:shd w:val="clear" w:color="auto" w:fill="auto"/>
          </w:tcPr>
          <w:p w14:paraId="21DD5A1B"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hloubka osvětlení min. 940 mm </w:t>
            </w:r>
          </w:p>
        </w:tc>
        <w:tc>
          <w:tcPr>
            <w:tcW w:w="1276" w:type="dxa"/>
            <w:shd w:val="clear" w:color="auto" w:fill="auto"/>
          </w:tcPr>
          <w:p w14:paraId="43D68B4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18AA425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3E29DC9" w14:textId="77777777" w:rsidTr="00C27E12">
        <w:trPr>
          <w:cantSplit/>
        </w:trPr>
        <w:tc>
          <w:tcPr>
            <w:tcW w:w="4536" w:type="dxa"/>
            <w:shd w:val="clear" w:color="auto" w:fill="auto"/>
          </w:tcPr>
          <w:p w14:paraId="757A3062"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průměr světelného pole ve vzdálenosti 1 m nastavitelný min. 150 a max. 310 mm</w:t>
            </w:r>
          </w:p>
        </w:tc>
        <w:tc>
          <w:tcPr>
            <w:tcW w:w="1276" w:type="dxa"/>
            <w:shd w:val="clear" w:color="auto" w:fill="auto"/>
          </w:tcPr>
          <w:p w14:paraId="6B9F1756"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514F224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97F0F17" w14:textId="77777777" w:rsidTr="00C27E12">
        <w:trPr>
          <w:cantSplit/>
        </w:trPr>
        <w:tc>
          <w:tcPr>
            <w:tcW w:w="4536" w:type="dxa"/>
            <w:shd w:val="clear" w:color="auto" w:fill="auto"/>
          </w:tcPr>
          <w:p w14:paraId="07CC175E"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samostatně regulovatelná intenzita v rozmezí min. 30-100 % a průměr světelného pole</w:t>
            </w:r>
          </w:p>
        </w:tc>
        <w:tc>
          <w:tcPr>
            <w:tcW w:w="1276" w:type="dxa"/>
            <w:shd w:val="clear" w:color="auto" w:fill="auto"/>
          </w:tcPr>
          <w:p w14:paraId="3BA9217A"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6276253A"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2D21562" w14:textId="77777777" w:rsidTr="00C27E12">
        <w:trPr>
          <w:cantSplit/>
        </w:trPr>
        <w:tc>
          <w:tcPr>
            <w:tcW w:w="4536" w:type="dxa"/>
            <w:shd w:val="clear" w:color="auto" w:fill="auto"/>
          </w:tcPr>
          <w:p w14:paraId="4A72CA35"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index podání barev </w:t>
            </w:r>
            <w:proofErr w:type="spellStart"/>
            <w:r w:rsidRPr="00CF603A">
              <w:rPr>
                <w:rFonts w:asciiTheme="minorHAnsi" w:hAnsiTheme="minorHAnsi" w:cstheme="minorHAnsi"/>
                <w:color w:val="00000A"/>
                <w:sz w:val="22"/>
                <w:szCs w:val="22"/>
              </w:rPr>
              <w:t>Ra</w:t>
            </w:r>
            <w:proofErr w:type="spellEnd"/>
            <w:r w:rsidRPr="00CF603A">
              <w:rPr>
                <w:rFonts w:asciiTheme="minorHAnsi" w:hAnsiTheme="minorHAnsi" w:cstheme="minorHAnsi"/>
                <w:color w:val="00000A"/>
                <w:sz w:val="22"/>
                <w:szCs w:val="22"/>
              </w:rPr>
              <w:t xml:space="preserve"> min. 95</w:t>
            </w:r>
          </w:p>
        </w:tc>
        <w:tc>
          <w:tcPr>
            <w:tcW w:w="1276" w:type="dxa"/>
            <w:shd w:val="clear" w:color="auto" w:fill="auto"/>
          </w:tcPr>
          <w:p w14:paraId="30C43FD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73D1630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16A6E669" w14:textId="77777777" w:rsidTr="00C27E12">
        <w:trPr>
          <w:cantSplit/>
        </w:trPr>
        <w:tc>
          <w:tcPr>
            <w:tcW w:w="4536" w:type="dxa"/>
            <w:shd w:val="clear" w:color="auto" w:fill="auto"/>
          </w:tcPr>
          <w:p w14:paraId="108B2FD7"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funkce minimálního světelného toku pro </w:t>
            </w:r>
            <w:r w:rsidRPr="00CF603A">
              <w:rPr>
                <w:rFonts w:asciiTheme="minorHAnsi" w:hAnsiTheme="minorHAnsi" w:cstheme="minorHAnsi"/>
                <w:sz w:val="22"/>
                <w:szCs w:val="22"/>
              </w:rPr>
              <w:t>endoskopii (5-10 %)</w:t>
            </w:r>
          </w:p>
        </w:tc>
        <w:tc>
          <w:tcPr>
            <w:tcW w:w="1276" w:type="dxa"/>
            <w:shd w:val="clear" w:color="auto" w:fill="auto"/>
          </w:tcPr>
          <w:p w14:paraId="46B6F96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748B14B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155C2A24" w14:textId="77777777" w:rsidTr="00C27E12">
        <w:trPr>
          <w:cantSplit/>
        </w:trPr>
        <w:tc>
          <w:tcPr>
            <w:tcW w:w="4536" w:type="dxa"/>
            <w:shd w:val="clear" w:color="auto" w:fill="auto"/>
          </w:tcPr>
          <w:p w14:paraId="1BE1FE86"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ovládání na dotykovém displeji na svítidle – intenzita osvětlení, průměr světelného pole, endoskopický režim, </w:t>
            </w:r>
          </w:p>
        </w:tc>
        <w:tc>
          <w:tcPr>
            <w:tcW w:w="1276" w:type="dxa"/>
            <w:shd w:val="clear" w:color="auto" w:fill="auto"/>
          </w:tcPr>
          <w:p w14:paraId="47EE0CE2"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12710868"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2BFA2787" w14:textId="77777777" w:rsidTr="00C27E12">
        <w:trPr>
          <w:cantSplit/>
        </w:trPr>
        <w:tc>
          <w:tcPr>
            <w:tcW w:w="4536" w:type="dxa"/>
            <w:shd w:val="clear" w:color="auto" w:fill="auto"/>
          </w:tcPr>
          <w:p w14:paraId="0BC96EF0"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design k zajištění laminárního proudění</w:t>
            </w:r>
          </w:p>
        </w:tc>
        <w:tc>
          <w:tcPr>
            <w:tcW w:w="1276" w:type="dxa"/>
            <w:shd w:val="clear" w:color="auto" w:fill="auto"/>
          </w:tcPr>
          <w:p w14:paraId="49B1A81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3F89FEA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3A0E2824" w14:textId="77777777" w:rsidTr="00C27E12">
        <w:trPr>
          <w:cantSplit/>
        </w:trPr>
        <w:tc>
          <w:tcPr>
            <w:tcW w:w="4536" w:type="dxa"/>
            <w:shd w:val="clear" w:color="auto" w:fill="auto"/>
          </w:tcPr>
          <w:p w14:paraId="36CB32FF"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součástí svítidla je dodání 3 ks </w:t>
            </w:r>
            <w:proofErr w:type="spellStart"/>
            <w:r w:rsidRPr="00CF603A">
              <w:rPr>
                <w:rFonts w:asciiTheme="minorHAnsi" w:hAnsiTheme="minorHAnsi" w:cstheme="minorHAnsi"/>
                <w:color w:val="00000A"/>
                <w:sz w:val="22"/>
                <w:szCs w:val="22"/>
              </w:rPr>
              <w:t>autoklávovatelné</w:t>
            </w:r>
            <w:proofErr w:type="spellEnd"/>
            <w:r w:rsidRPr="00CF603A">
              <w:rPr>
                <w:rFonts w:asciiTheme="minorHAnsi" w:hAnsiTheme="minorHAnsi" w:cstheme="minorHAnsi"/>
                <w:color w:val="00000A"/>
                <w:sz w:val="22"/>
                <w:szCs w:val="22"/>
              </w:rPr>
              <w:t xml:space="preserve"> vyměnitelné rukojeti pro jeden satelit, s možností využití u ostatních svítidel </w:t>
            </w:r>
          </w:p>
        </w:tc>
        <w:tc>
          <w:tcPr>
            <w:tcW w:w="1276" w:type="dxa"/>
            <w:shd w:val="clear" w:color="auto" w:fill="auto"/>
          </w:tcPr>
          <w:p w14:paraId="2C70290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65E26A2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5CAFA2C" w14:textId="77777777" w:rsidTr="00C27E12">
        <w:trPr>
          <w:cantSplit/>
        </w:trPr>
        <w:tc>
          <w:tcPr>
            <w:tcW w:w="4536" w:type="dxa"/>
            <w:shd w:val="clear" w:color="auto" w:fill="auto"/>
          </w:tcPr>
          <w:p w14:paraId="4C26B0BD"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color w:val="00000A"/>
                <w:sz w:val="22"/>
                <w:szCs w:val="22"/>
              </w:rPr>
              <w:t xml:space="preserve">nástěnný ovládací panel pro satelitní svítidlo </w:t>
            </w:r>
          </w:p>
        </w:tc>
        <w:tc>
          <w:tcPr>
            <w:tcW w:w="1276" w:type="dxa"/>
            <w:shd w:val="clear" w:color="auto" w:fill="auto"/>
          </w:tcPr>
          <w:p w14:paraId="03571D5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00CCAC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EE11285" w14:textId="77777777" w:rsidTr="00C27E12">
        <w:trPr>
          <w:cantSplit/>
        </w:trPr>
        <w:tc>
          <w:tcPr>
            <w:tcW w:w="4536" w:type="dxa"/>
            <w:shd w:val="clear" w:color="auto" w:fill="auto"/>
          </w:tcPr>
          <w:p w14:paraId="16EC3C55"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sz w:val="22"/>
                <w:szCs w:val="22"/>
              </w:rPr>
              <w:lastRenderedPageBreak/>
              <w:t xml:space="preserve">Dodavatel operačního svítidla provede na vlastní náklady kontrolu stavební připravenosti, elektro-přívodů a kotevních prvků na stávajícím operačním sále. Instalace bude provedena s maximální možnou šetrností a s využitím stávajících kotevních a připojovacích prvků. Související celky jako například povrchy a podhledy budou po instalaci uvedeny do původního stavu. V souvislosti s instalací nového zařízení není plánována jakákoli stavební a stavebně instalační činnost ze strany zadavatele. Na základě toho požaduje zadavatel maximální kompatibilitu se stávajícími parametry (kotevními elementy, mezistropními konstrukcemi, stropními tubusy, </w:t>
            </w:r>
            <w:proofErr w:type="gramStart"/>
            <w:r w:rsidRPr="00CF603A">
              <w:rPr>
                <w:rFonts w:asciiTheme="minorHAnsi" w:hAnsiTheme="minorHAnsi" w:cstheme="minorHAnsi"/>
                <w:sz w:val="22"/>
                <w:szCs w:val="22"/>
              </w:rPr>
              <w:t>elektroinstalací,</w:t>
            </w:r>
            <w:proofErr w:type="gramEnd"/>
            <w:r w:rsidRPr="00CF603A">
              <w:rPr>
                <w:rFonts w:asciiTheme="minorHAnsi" w:hAnsiTheme="minorHAnsi" w:cstheme="minorHAnsi"/>
                <w:sz w:val="22"/>
                <w:szCs w:val="22"/>
              </w:rPr>
              <w:t xml:space="preserve"> atd.) Všechna nově instalovaná zařízení budou opatřena příslušnými revizními zprávami a obvyklou dokumentací, která odpovídá zákonným normám v době instalace.</w:t>
            </w:r>
          </w:p>
        </w:tc>
        <w:tc>
          <w:tcPr>
            <w:tcW w:w="1276" w:type="dxa"/>
            <w:shd w:val="clear" w:color="auto" w:fill="auto"/>
          </w:tcPr>
          <w:p w14:paraId="7FD3544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6954377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bl>
    <w:p w14:paraId="7B9051ED" w14:textId="77777777" w:rsidR="00E743D6" w:rsidRPr="00E743D6" w:rsidRDefault="00E743D6" w:rsidP="00E743D6">
      <w:pPr>
        <w:rPr>
          <w:rFonts w:asciiTheme="minorHAnsi" w:hAnsiTheme="minorHAnsi" w:cstheme="minorHAnsi"/>
          <w:lang w:eastAsia="en-US"/>
        </w:rPr>
      </w:pPr>
    </w:p>
    <w:p w14:paraId="2D358E92" w14:textId="77777777" w:rsidR="009942D9" w:rsidRPr="00E743D6" w:rsidRDefault="009942D9" w:rsidP="009942D9">
      <w:pPr>
        <w:pStyle w:val="Nadpis2"/>
        <w:spacing w:before="240"/>
        <w:jc w:val="both"/>
        <w:rPr>
          <w:rFonts w:asciiTheme="minorHAnsi" w:hAnsiTheme="minorHAnsi" w:cstheme="minorHAnsi"/>
          <w:sz w:val="22"/>
          <w:szCs w:val="22"/>
        </w:rPr>
      </w:pPr>
      <w:r w:rsidRPr="00E743D6">
        <w:rPr>
          <w:rFonts w:asciiTheme="minorHAnsi" w:hAnsiTheme="minorHAnsi" w:cstheme="minorHAnsi"/>
          <w:sz w:val="22"/>
          <w:szCs w:val="22"/>
        </w:rPr>
        <w:t>Na všechny číselné parametry je tolerance +/- 10 %, mimo číselné parametry uvedené jako min. nebo max.</w:t>
      </w:r>
    </w:p>
    <w:p w14:paraId="6AA3FA97" w14:textId="1A46FFA4" w:rsidR="00E743D6" w:rsidRDefault="00E743D6" w:rsidP="00E743D6">
      <w:pPr>
        <w:rPr>
          <w:rFonts w:asciiTheme="minorHAnsi" w:hAnsiTheme="minorHAnsi" w:cstheme="minorHAnsi"/>
          <w:lang w:eastAsia="en-US"/>
        </w:rPr>
      </w:pPr>
    </w:p>
    <w:p w14:paraId="30C9F4D8" w14:textId="4EC2DA22" w:rsidR="009942D9" w:rsidRDefault="009942D9" w:rsidP="00E743D6">
      <w:pPr>
        <w:rPr>
          <w:rFonts w:asciiTheme="minorHAnsi" w:hAnsiTheme="minorHAnsi" w:cstheme="minorHAnsi"/>
          <w:lang w:eastAsia="en-US"/>
        </w:rPr>
      </w:pPr>
    </w:p>
    <w:p w14:paraId="24373820" w14:textId="77777777" w:rsidR="009942D9" w:rsidRPr="00E743D6" w:rsidRDefault="009942D9" w:rsidP="00E743D6">
      <w:pPr>
        <w:rPr>
          <w:rFonts w:asciiTheme="minorHAnsi" w:hAnsiTheme="minorHAnsi" w:cstheme="minorHAnsi"/>
          <w:lang w:eastAsia="en-US"/>
        </w:rPr>
      </w:pPr>
    </w:p>
    <w:p w14:paraId="2FD158AF" w14:textId="77777777" w:rsidR="00E743D6" w:rsidRPr="00E743D6" w:rsidRDefault="00E743D6" w:rsidP="00E743D6">
      <w:pPr>
        <w:rPr>
          <w:rFonts w:asciiTheme="minorHAnsi" w:hAnsiTheme="minorHAnsi" w:cstheme="minorHAnsi"/>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743D6" w:rsidRPr="00E743D6" w14:paraId="6796EB84" w14:textId="77777777" w:rsidTr="009942D9">
        <w:trPr>
          <w:cantSplit/>
          <w:trHeight w:val="387"/>
        </w:trPr>
        <w:tc>
          <w:tcPr>
            <w:tcW w:w="4536" w:type="dxa"/>
            <w:shd w:val="clear" w:color="auto" w:fill="9CF098"/>
            <w:vAlign w:val="center"/>
          </w:tcPr>
          <w:p w14:paraId="0D4405A6" w14:textId="77777777" w:rsidR="00E743D6" w:rsidRPr="00E743D6" w:rsidRDefault="00E743D6" w:rsidP="00C27E12">
            <w:pPr>
              <w:rPr>
                <w:rFonts w:asciiTheme="minorHAnsi" w:hAnsiTheme="minorHAnsi" w:cstheme="minorHAnsi"/>
                <w:b/>
                <w:sz w:val="28"/>
                <w:szCs w:val="28"/>
              </w:rPr>
            </w:pPr>
            <w:r w:rsidRPr="00E743D6">
              <w:rPr>
                <w:rFonts w:asciiTheme="minorHAnsi" w:hAnsiTheme="minorHAnsi" w:cstheme="minorHAnsi"/>
                <w:b/>
                <w:sz w:val="28"/>
                <w:szCs w:val="28"/>
              </w:rPr>
              <w:t>Položka ve</w:t>
            </w:r>
            <w:r w:rsidRPr="00E743D6">
              <w:rPr>
                <w:rFonts w:asciiTheme="minorHAnsi" w:hAnsiTheme="minorHAnsi" w:cstheme="minorHAnsi"/>
                <w:b/>
                <w:bCs/>
                <w:sz w:val="28"/>
                <w:szCs w:val="28"/>
              </w:rPr>
              <w:t xml:space="preserve">řejné </w:t>
            </w:r>
            <w:r w:rsidRPr="00E743D6">
              <w:rPr>
                <w:rFonts w:asciiTheme="minorHAnsi" w:hAnsiTheme="minorHAnsi" w:cstheme="minorHAnsi"/>
                <w:b/>
                <w:sz w:val="28"/>
                <w:szCs w:val="28"/>
              </w:rPr>
              <w:t>zakázky</w:t>
            </w:r>
          </w:p>
        </w:tc>
        <w:tc>
          <w:tcPr>
            <w:tcW w:w="5097" w:type="dxa"/>
            <w:gridSpan w:val="2"/>
            <w:shd w:val="clear" w:color="auto" w:fill="9CF098"/>
            <w:vAlign w:val="center"/>
          </w:tcPr>
          <w:p w14:paraId="05995D24" w14:textId="145FA27D" w:rsidR="00E743D6" w:rsidRPr="00E743D6" w:rsidRDefault="00CF603A" w:rsidP="00C27E12">
            <w:pPr>
              <w:rPr>
                <w:rFonts w:asciiTheme="minorHAnsi" w:hAnsiTheme="minorHAnsi" w:cstheme="minorHAnsi"/>
                <w:b/>
                <w:bCs/>
                <w:sz w:val="28"/>
                <w:szCs w:val="28"/>
              </w:rPr>
            </w:pPr>
            <w:r>
              <w:rPr>
                <w:rFonts w:asciiTheme="minorHAnsi" w:hAnsiTheme="minorHAnsi" w:cstheme="minorHAnsi"/>
                <w:b/>
                <w:bCs/>
                <w:sz w:val="28"/>
                <w:szCs w:val="28"/>
              </w:rPr>
              <w:t>O</w:t>
            </w:r>
            <w:r w:rsidR="00E743D6" w:rsidRPr="00E743D6">
              <w:rPr>
                <w:rFonts w:asciiTheme="minorHAnsi" w:hAnsiTheme="minorHAnsi" w:cstheme="minorHAnsi"/>
                <w:b/>
                <w:bCs/>
                <w:sz w:val="28"/>
                <w:szCs w:val="28"/>
              </w:rPr>
              <w:t>perační svítid</w:t>
            </w:r>
            <w:r>
              <w:rPr>
                <w:rFonts w:asciiTheme="minorHAnsi" w:hAnsiTheme="minorHAnsi" w:cstheme="minorHAnsi"/>
                <w:b/>
                <w:bCs/>
                <w:sz w:val="28"/>
                <w:szCs w:val="28"/>
              </w:rPr>
              <w:t>lo</w:t>
            </w:r>
            <w:r w:rsidR="00E743D6" w:rsidRPr="00E743D6">
              <w:rPr>
                <w:rFonts w:asciiTheme="minorHAnsi" w:hAnsiTheme="minorHAnsi" w:cstheme="minorHAnsi"/>
                <w:b/>
                <w:bCs/>
                <w:sz w:val="28"/>
                <w:szCs w:val="28"/>
              </w:rPr>
              <w:t xml:space="preserve"> </w:t>
            </w:r>
            <w:proofErr w:type="spellStart"/>
            <w:r w:rsidR="004D1917">
              <w:rPr>
                <w:rFonts w:asciiTheme="minorHAnsi" w:hAnsiTheme="minorHAnsi" w:cstheme="minorHAnsi"/>
                <w:b/>
                <w:bCs/>
                <w:sz w:val="28"/>
                <w:szCs w:val="28"/>
              </w:rPr>
              <w:t>jedno</w:t>
            </w:r>
            <w:r w:rsidR="00E743D6" w:rsidRPr="00E743D6">
              <w:rPr>
                <w:rFonts w:asciiTheme="minorHAnsi" w:hAnsiTheme="minorHAnsi" w:cstheme="minorHAnsi"/>
                <w:b/>
                <w:bCs/>
                <w:sz w:val="28"/>
                <w:szCs w:val="28"/>
              </w:rPr>
              <w:t>zdrojové</w:t>
            </w:r>
            <w:proofErr w:type="spellEnd"/>
            <w:r>
              <w:rPr>
                <w:rFonts w:asciiTheme="minorHAnsi" w:hAnsiTheme="minorHAnsi" w:cstheme="minorHAnsi"/>
                <w:b/>
                <w:bCs/>
                <w:sz w:val="28"/>
                <w:szCs w:val="28"/>
              </w:rPr>
              <w:t xml:space="preserve"> – 2 ks</w:t>
            </w:r>
          </w:p>
        </w:tc>
      </w:tr>
      <w:tr w:rsidR="00E743D6" w:rsidRPr="00E743D6" w14:paraId="219279B5" w14:textId="77777777" w:rsidTr="00C27E12">
        <w:trPr>
          <w:cantSplit/>
        </w:trPr>
        <w:tc>
          <w:tcPr>
            <w:tcW w:w="4536" w:type="dxa"/>
            <w:shd w:val="clear" w:color="auto" w:fill="F7CAAC" w:themeFill="accent2" w:themeFillTint="66"/>
          </w:tcPr>
          <w:p w14:paraId="23D6250F" w14:textId="77777777" w:rsidR="00E743D6" w:rsidRPr="00E743D6" w:rsidRDefault="00E743D6" w:rsidP="00C27E12">
            <w:pPr>
              <w:pStyle w:val="Nadpis6"/>
              <w:suppressAutoHyphens w:val="0"/>
              <w:outlineLvl w:val="5"/>
              <w:rPr>
                <w:rFonts w:asciiTheme="minorHAnsi" w:eastAsia="Times New Roman" w:hAnsiTheme="minorHAnsi" w:cstheme="minorHAnsi"/>
                <w:szCs w:val="24"/>
                <w:lang w:eastAsia="cs-CZ"/>
              </w:rPr>
            </w:pPr>
            <w:r w:rsidRPr="00E743D6">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69587ED2" w14:textId="77777777" w:rsidR="00E743D6" w:rsidRPr="00E743D6" w:rsidRDefault="00E743D6" w:rsidP="00C27E12">
            <w:pPr>
              <w:rPr>
                <w:rFonts w:asciiTheme="minorHAnsi" w:hAnsiTheme="minorHAnsi" w:cstheme="minorHAnsi"/>
                <w:b/>
                <w:sz w:val="22"/>
              </w:rPr>
            </w:pPr>
            <w:r w:rsidRPr="00E743D6">
              <w:rPr>
                <w:rFonts w:asciiTheme="minorHAnsi" w:hAnsiTheme="minorHAnsi" w:cstheme="minorHAnsi"/>
                <w:b/>
                <w:sz w:val="22"/>
              </w:rPr>
              <w:t>Splnění požadavku ANO/NE</w:t>
            </w:r>
          </w:p>
        </w:tc>
        <w:tc>
          <w:tcPr>
            <w:tcW w:w="3821" w:type="dxa"/>
            <w:shd w:val="clear" w:color="auto" w:fill="F7CAAC" w:themeFill="accent2" w:themeFillTint="66"/>
          </w:tcPr>
          <w:p w14:paraId="03063E58" w14:textId="77777777" w:rsidR="00E743D6" w:rsidRPr="00E743D6" w:rsidRDefault="00E743D6" w:rsidP="00C27E12">
            <w:pPr>
              <w:rPr>
                <w:rFonts w:asciiTheme="minorHAnsi" w:hAnsiTheme="minorHAnsi" w:cstheme="minorHAnsi"/>
                <w:b/>
                <w:sz w:val="22"/>
              </w:rPr>
            </w:pPr>
            <w:r w:rsidRPr="00E743D6">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E743D6" w:rsidRPr="00E743D6" w14:paraId="6550CE46" w14:textId="77777777" w:rsidTr="00C27E12">
        <w:trPr>
          <w:cantSplit/>
        </w:trPr>
        <w:tc>
          <w:tcPr>
            <w:tcW w:w="4536" w:type="dxa"/>
            <w:shd w:val="clear" w:color="auto" w:fill="auto"/>
          </w:tcPr>
          <w:p w14:paraId="0B53D007"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sz w:val="22"/>
                <w:szCs w:val="22"/>
              </w:rPr>
              <w:t>LED svítidlo zákrokové stropní pro zákrokový sál</w:t>
            </w:r>
          </w:p>
        </w:tc>
        <w:tc>
          <w:tcPr>
            <w:tcW w:w="1276" w:type="dxa"/>
            <w:shd w:val="clear" w:color="auto" w:fill="auto"/>
            <w:vAlign w:val="center"/>
          </w:tcPr>
          <w:p w14:paraId="29605AA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7082CF1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EA6CEDE" w14:textId="77777777" w:rsidTr="00C27E12">
        <w:trPr>
          <w:cantSplit/>
        </w:trPr>
        <w:tc>
          <w:tcPr>
            <w:tcW w:w="4536" w:type="dxa"/>
            <w:shd w:val="clear" w:color="auto" w:fill="auto"/>
          </w:tcPr>
          <w:p w14:paraId="68063090"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sz w:val="22"/>
                <w:szCs w:val="22"/>
              </w:rPr>
              <w:t xml:space="preserve">světelný zdroj LED – </w:t>
            </w:r>
            <w:proofErr w:type="spellStart"/>
            <w:r w:rsidRPr="00CF603A">
              <w:rPr>
                <w:rFonts w:asciiTheme="minorHAnsi" w:hAnsiTheme="minorHAnsi" w:cstheme="minorHAnsi"/>
                <w:sz w:val="22"/>
                <w:szCs w:val="22"/>
              </w:rPr>
              <w:t>multicolorové</w:t>
            </w:r>
            <w:proofErr w:type="spellEnd"/>
            <w:r w:rsidRPr="00CF603A">
              <w:rPr>
                <w:rFonts w:asciiTheme="minorHAnsi" w:hAnsiTheme="minorHAnsi" w:cstheme="minorHAnsi"/>
                <w:sz w:val="22"/>
                <w:szCs w:val="22"/>
              </w:rPr>
              <w:t xml:space="preserve"> provedení nebo jednobarevné LED s filtry </w:t>
            </w:r>
          </w:p>
        </w:tc>
        <w:tc>
          <w:tcPr>
            <w:tcW w:w="1276" w:type="dxa"/>
            <w:shd w:val="clear" w:color="auto" w:fill="auto"/>
            <w:vAlign w:val="center"/>
          </w:tcPr>
          <w:p w14:paraId="5081FC0C"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25AF3C3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0A1A77F" w14:textId="77777777" w:rsidTr="00C27E12">
        <w:trPr>
          <w:cantSplit/>
        </w:trPr>
        <w:tc>
          <w:tcPr>
            <w:tcW w:w="4536" w:type="dxa"/>
            <w:shd w:val="clear" w:color="auto" w:fill="auto"/>
          </w:tcPr>
          <w:p w14:paraId="705B0B43"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sz w:val="22"/>
                <w:szCs w:val="22"/>
              </w:rPr>
              <w:t xml:space="preserve">intenzita osvětlení (ve vzdálenosti 1 m) min. 100 000 </w:t>
            </w:r>
            <w:proofErr w:type="spellStart"/>
            <w:r w:rsidRPr="00CF603A">
              <w:rPr>
                <w:rFonts w:asciiTheme="minorHAnsi" w:hAnsiTheme="minorHAnsi" w:cstheme="minorHAnsi"/>
                <w:sz w:val="22"/>
                <w:szCs w:val="22"/>
              </w:rPr>
              <w:t>lx</w:t>
            </w:r>
            <w:proofErr w:type="spellEnd"/>
          </w:p>
        </w:tc>
        <w:tc>
          <w:tcPr>
            <w:tcW w:w="1276" w:type="dxa"/>
            <w:shd w:val="clear" w:color="auto" w:fill="auto"/>
            <w:vAlign w:val="center"/>
          </w:tcPr>
          <w:p w14:paraId="6FCC09C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019F8AE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0878CDBD" w14:textId="77777777" w:rsidTr="00C27E12">
        <w:trPr>
          <w:cantSplit/>
        </w:trPr>
        <w:tc>
          <w:tcPr>
            <w:tcW w:w="4536" w:type="dxa"/>
            <w:shd w:val="clear" w:color="auto" w:fill="auto"/>
          </w:tcPr>
          <w:p w14:paraId="34A3A794" w14:textId="77777777" w:rsidR="00E743D6" w:rsidRPr="00CF603A" w:rsidRDefault="00E743D6" w:rsidP="00C27E12">
            <w:pPr>
              <w:tabs>
                <w:tab w:val="left" w:pos="2955"/>
              </w:tabs>
              <w:rPr>
                <w:rFonts w:asciiTheme="minorHAnsi" w:hAnsiTheme="minorHAnsi" w:cstheme="minorHAnsi"/>
                <w:sz w:val="22"/>
                <w:szCs w:val="22"/>
              </w:rPr>
            </w:pPr>
            <w:r w:rsidRPr="00CF603A">
              <w:rPr>
                <w:rFonts w:asciiTheme="minorHAnsi" w:hAnsiTheme="minorHAnsi" w:cstheme="minorHAnsi"/>
                <w:sz w:val="22"/>
                <w:szCs w:val="22"/>
              </w:rPr>
              <w:t>regulace intenzity osvětlení samostatně</w:t>
            </w:r>
          </w:p>
        </w:tc>
        <w:tc>
          <w:tcPr>
            <w:tcW w:w="1276" w:type="dxa"/>
            <w:shd w:val="clear" w:color="auto" w:fill="auto"/>
            <w:vAlign w:val="center"/>
          </w:tcPr>
          <w:p w14:paraId="0560A20D"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6735728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0FF873F" w14:textId="77777777" w:rsidTr="00C27E12">
        <w:trPr>
          <w:cantSplit/>
        </w:trPr>
        <w:tc>
          <w:tcPr>
            <w:tcW w:w="4536" w:type="dxa"/>
            <w:shd w:val="clear" w:color="auto" w:fill="auto"/>
          </w:tcPr>
          <w:p w14:paraId="1D7993D2"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sz w:val="22"/>
                <w:szCs w:val="22"/>
              </w:rPr>
              <w:t>teplota chromatičnosti nastavitelná v rozmezí min. 3500 a max. 5000 K krokově v min. třech krocích</w:t>
            </w:r>
          </w:p>
        </w:tc>
        <w:tc>
          <w:tcPr>
            <w:tcW w:w="1276" w:type="dxa"/>
            <w:shd w:val="clear" w:color="auto" w:fill="auto"/>
            <w:vAlign w:val="center"/>
          </w:tcPr>
          <w:p w14:paraId="5C288FB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1B1D602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C8F96CB" w14:textId="77777777" w:rsidTr="00C27E12">
        <w:trPr>
          <w:cantSplit/>
        </w:trPr>
        <w:tc>
          <w:tcPr>
            <w:tcW w:w="4536" w:type="dxa"/>
            <w:shd w:val="clear" w:color="auto" w:fill="auto"/>
          </w:tcPr>
          <w:p w14:paraId="75F4611D" w14:textId="77777777" w:rsidR="00E743D6" w:rsidRPr="00CF603A" w:rsidRDefault="00E743D6" w:rsidP="00C27E12">
            <w:pPr>
              <w:rPr>
                <w:rFonts w:asciiTheme="minorHAnsi" w:hAnsiTheme="minorHAnsi" w:cstheme="minorHAnsi"/>
                <w:sz w:val="22"/>
                <w:szCs w:val="22"/>
              </w:rPr>
            </w:pPr>
            <w:r w:rsidRPr="00CF603A">
              <w:rPr>
                <w:rFonts w:asciiTheme="minorHAnsi" w:hAnsiTheme="minorHAnsi" w:cstheme="minorHAnsi"/>
                <w:sz w:val="22"/>
                <w:szCs w:val="22"/>
              </w:rPr>
              <w:t>životnost světelného zdroje min. 50.000 hodin</w:t>
            </w:r>
          </w:p>
        </w:tc>
        <w:tc>
          <w:tcPr>
            <w:tcW w:w="1276" w:type="dxa"/>
            <w:shd w:val="clear" w:color="auto" w:fill="auto"/>
            <w:vAlign w:val="center"/>
          </w:tcPr>
          <w:p w14:paraId="3B3E7E96"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678B0D7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368ACDCA" w14:textId="77777777" w:rsidTr="00C27E12">
        <w:trPr>
          <w:cantSplit/>
        </w:trPr>
        <w:tc>
          <w:tcPr>
            <w:tcW w:w="4536" w:type="dxa"/>
            <w:shd w:val="clear" w:color="auto" w:fill="auto"/>
          </w:tcPr>
          <w:p w14:paraId="0B98D56C"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 xml:space="preserve">možnost nastavení intenzity, nastavení barevné teploty světla a prosvětlení do hloubky i ve sterilním prostředí pomocí </w:t>
            </w:r>
            <w:proofErr w:type="spellStart"/>
            <w:r w:rsidRPr="008961B9">
              <w:rPr>
                <w:rFonts w:asciiTheme="minorHAnsi" w:hAnsiTheme="minorHAnsi" w:cstheme="minorHAnsi"/>
                <w:sz w:val="22"/>
                <w:szCs w:val="22"/>
              </w:rPr>
              <w:t>resterilizovatelné</w:t>
            </w:r>
            <w:proofErr w:type="spellEnd"/>
            <w:r w:rsidRPr="008961B9">
              <w:rPr>
                <w:rFonts w:asciiTheme="minorHAnsi" w:hAnsiTheme="minorHAnsi" w:cstheme="minorHAnsi"/>
                <w:sz w:val="22"/>
                <w:szCs w:val="22"/>
              </w:rPr>
              <w:t xml:space="preserve"> rukojeti</w:t>
            </w:r>
          </w:p>
        </w:tc>
        <w:tc>
          <w:tcPr>
            <w:tcW w:w="1276" w:type="dxa"/>
            <w:shd w:val="clear" w:color="auto" w:fill="auto"/>
            <w:vAlign w:val="center"/>
          </w:tcPr>
          <w:p w14:paraId="01404463"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198C4DA1"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CCB927A" w14:textId="77777777" w:rsidTr="00C27E12">
        <w:trPr>
          <w:cantSplit/>
        </w:trPr>
        <w:tc>
          <w:tcPr>
            <w:tcW w:w="4536" w:type="dxa"/>
            <w:shd w:val="clear" w:color="auto" w:fill="auto"/>
          </w:tcPr>
          <w:p w14:paraId="06059B7C"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funkce na ovládacím panelu na těle svítidla: elektronický vypínač ON-OFF</w:t>
            </w:r>
          </w:p>
        </w:tc>
        <w:tc>
          <w:tcPr>
            <w:tcW w:w="1276" w:type="dxa"/>
            <w:shd w:val="clear" w:color="auto" w:fill="auto"/>
            <w:vAlign w:val="center"/>
          </w:tcPr>
          <w:p w14:paraId="202A9EC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1E1A94C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CD9ED33" w14:textId="77777777" w:rsidTr="00C27E12">
        <w:trPr>
          <w:cantSplit/>
        </w:trPr>
        <w:tc>
          <w:tcPr>
            <w:tcW w:w="4536" w:type="dxa"/>
            <w:shd w:val="clear" w:color="auto" w:fill="auto"/>
          </w:tcPr>
          <w:p w14:paraId="28BF44E3" w14:textId="77777777" w:rsidR="00E743D6" w:rsidRPr="008961B9" w:rsidRDefault="00E743D6" w:rsidP="00E743D6">
            <w:pPr>
              <w:pStyle w:val="Odstavecseseznamem"/>
              <w:numPr>
                <w:ilvl w:val="0"/>
                <w:numId w:val="26"/>
              </w:numPr>
              <w:rPr>
                <w:rFonts w:asciiTheme="minorHAnsi" w:hAnsiTheme="minorHAnsi" w:cstheme="minorHAnsi"/>
                <w:sz w:val="22"/>
                <w:szCs w:val="22"/>
              </w:rPr>
            </w:pPr>
            <w:r w:rsidRPr="008961B9">
              <w:rPr>
                <w:rFonts w:asciiTheme="minorHAnsi" w:hAnsiTheme="minorHAnsi" w:cstheme="minorHAnsi"/>
                <w:sz w:val="22"/>
                <w:szCs w:val="22"/>
              </w:rPr>
              <w:lastRenderedPageBreak/>
              <w:t xml:space="preserve">přepnutí do </w:t>
            </w:r>
            <w:proofErr w:type="spellStart"/>
            <w:r w:rsidRPr="008961B9">
              <w:rPr>
                <w:rFonts w:asciiTheme="minorHAnsi" w:hAnsiTheme="minorHAnsi" w:cstheme="minorHAnsi"/>
                <w:sz w:val="22"/>
                <w:szCs w:val="22"/>
              </w:rPr>
              <w:t>Endo</w:t>
            </w:r>
            <w:proofErr w:type="spellEnd"/>
            <w:r w:rsidRPr="008961B9">
              <w:rPr>
                <w:rFonts w:asciiTheme="minorHAnsi" w:hAnsiTheme="minorHAnsi" w:cstheme="minorHAnsi"/>
                <w:sz w:val="22"/>
                <w:szCs w:val="22"/>
              </w:rPr>
              <w:t xml:space="preserve"> režimu</w:t>
            </w:r>
          </w:p>
        </w:tc>
        <w:tc>
          <w:tcPr>
            <w:tcW w:w="1276" w:type="dxa"/>
            <w:shd w:val="clear" w:color="auto" w:fill="auto"/>
            <w:vAlign w:val="center"/>
          </w:tcPr>
          <w:p w14:paraId="4CC287F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5DE6DDDA"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F95F054" w14:textId="77777777" w:rsidTr="00C27E12">
        <w:trPr>
          <w:cantSplit/>
        </w:trPr>
        <w:tc>
          <w:tcPr>
            <w:tcW w:w="4536" w:type="dxa"/>
            <w:shd w:val="clear" w:color="auto" w:fill="auto"/>
          </w:tcPr>
          <w:p w14:paraId="4F6DCB24" w14:textId="77777777" w:rsidR="00E743D6" w:rsidRPr="008961B9" w:rsidRDefault="00E743D6" w:rsidP="00E743D6">
            <w:pPr>
              <w:pStyle w:val="Odstavecseseznamem"/>
              <w:numPr>
                <w:ilvl w:val="0"/>
                <w:numId w:val="26"/>
              </w:numPr>
              <w:rPr>
                <w:rFonts w:asciiTheme="minorHAnsi" w:hAnsiTheme="minorHAnsi" w:cstheme="minorHAnsi"/>
                <w:sz w:val="22"/>
                <w:szCs w:val="22"/>
              </w:rPr>
            </w:pPr>
            <w:r w:rsidRPr="008961B9">
              <w:rPr>
                <w:rFonts w:asciiTheme="minorHAnsi" w:hAnsiTheme="minorHAnsi" w:cstheme="minorHAnsi"/>
                <w:sz w:val="22"/>
                <w:szCs w:val="22"/>
              </w:rPr>
              <w:t>regulace světelné intenzity</w:t>
            </w:r>
          </w:p>
        </w:tc>
        <w:tc>
          <w:tcPr>
            <w:tcW w:w="1276" w:type="dxa"/>
            <w:shd w:val="clear" w:color="auto" w:fill="auto"/>
            <w:vAlign w:val="center"/>
          </w:tcPr>
          <w:p w14:paraId="4217099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vAlign w:val="center"/>
          </w:tcPr>
          <w:p w14:paraId="08D85DD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E1CDC49" w14:textId="77777777" w:rsidTr="00C27E12">
        <w:trPr>
          <w:cantSplit/>
        </w:trPr>
        <w:tc>
          <w:tcPr>
            <w:tcW w:w="4536" w:type="dxa"/>
            <w:shd w:val="clear" w:color="auto" w:fill="auto"/>
          </w:tcPr>
          <w:p w14:paraId="6631A8D2"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všechny funkce ovládané také z nástěnného panelu</w:t>
            </w:r>
          </w:p>
        </w:tc>
        <w:tc>
          <w:tcPr>
            <w:tcW w:w="1276" w:type="dxa"/>
            <w:shd w:val="clear" w:color="auto" w:fill="auto"/>
          </w:tcPr>
          <w:p w14:paraId="1A26661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E2860F8"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EE9BE54" w14:textId="77777777" w:rsidTr="00C27E12">
        <w:trPr>
          <w:cantSplit/>
        </w:trPr>
        <w:tc>
          <w:tcPr>
            <w:tcW w:w="4536" w:type="dxa"/>
            <w:shd w:val="clear" w:color="auto" w:fill="auto"/>
          </w:tcPr>
          <w:p w14:paraId="343BE6B0"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regulace světelné intenzity v rozsahu min. 30–100 %</w:t>
            </w:r>
          </w:p>
        </w:tc>
        <w:tc>
          <w:tcPr>
            <w:tcW w:w="1276" w:type="dxa"/>
            <w:shd w:val="clear" w:color="auto" w:fill="auto"/>
          </w:tcPr>
          <w:p w14:paraId="790DC5AD"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20657297"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0269B8E1" w14:textId="77777777" w:rsidTr="00C27E12">
        <w:trPr>
          <w:cantSplit/>
        </w:trPr>
        <w:tc>
          <w:tcPr>
            <w:tcW w:w="4536" w:type="dxa"/>
            <w:shd w:val="clear" w:color="auto" w:fill="auto"/>
          </w:tcPr>
          <w:p w14:paraId="1837948E"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regulace intenzity v ENDO režimu</w:t>
            </w:r>
          </w:p>
        </w:tc>
        <w:tc>
          <w:tcPr>
            <w:tcW w:w="1276" w:type="dxa"/>
            <w:shd w:val="clear" w:color="auto" w:fill="auto"/>
          </w:tcPr>
          <w:p w14:paraId="274ABEC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79851B0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B1878B0" w14:textId="77777777" w:rsidTr="00C27E12">
        <w:trPr>
          <w:cantSplit/>
        </w:trPr>
        <w:tc>
          <w:tcPr>
            <w:tcW w:w="4536" w:type="dxa"/>
            <w:shd w:val="clear" w:color="auto" w:fill="auto"/>
          </w:tcPr>
          <w:p w14:paraId="2CE6362E"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hloubka osvětlení L1/L2 při 20 % min 950 mm</w:t>
            </w:r>
          </w:p>
        </w:tc>
        <w:tc>
          <w:tcPr>
            <w:tcW w:w="1276" w:type="dxa"/>
            <w:shd w:val="clear" w:color="auto" w:fill="auto"/>
          </w:tcPr>
          <w:p w14:paraId="16B93D2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5B6C0C1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500C5DB9" w14:textId="77777777" w:rsidTr="00C27E12">
        <w:trPr>
          <w:cantSplit/>
        </w:trPr>
        <w:tc>
          <w:tcPr>
            <w:tcW w:w="4536" w:type="dxa"/>
            <w:shd w:val="clear" w:color="auto" w:fill="auto"/>
          </w:tcPr>
          <w:p w14:paraId="54DAE9D4"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plynulé nastavení průměru světelného pole ve vzdálenosti 1 m min. 21–25 cm</w:t>
            </w:r>
          </w:p>
        </w:tc>
        <w:tc>
          <w:tcPr>
            <w:tcW w:w="1276" w:type="dxa"/>
            <w:shd w:val="clear" w:color="auto" w:fill="auto"/>
          </w:tcPr>
          <w:p w14:paraId="6D494773"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2F46F406"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1120457F" w14:textId="77777777" w:rsidTr="00C27E12">
        <w:trPr>
          <w:cantSplit/>
        </w:trPr>
        <w:tc>
          <w:tcPr>
            <w:tcW w:w="4536" w:type="dxa"/>
            <w:shd w:val="clear" w:color="auto" w:fill="auto"/>
          </w:tcPr>
          <w:p w14:paraId="0574705B"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index podání barev Ra≥95</w:t>
            </w:r>
          </w:p>
          <w:p w14:paraId="5F0706FB"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index podání červené barvy R9≥95</w:t>
            </w:r>
          </w:p>
        </w:tc>
        <w:tc>
          <w:tcPr>
            <w:tcW w:w="1276" w:type="dxa"/>
            <w:shd w:val="clear" w:color="auto" w:fill="auto"/>
          </w:tcPr>
          <w:p w14:paraId="2BA3C6AB"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5094EC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8660B42" w14:textId="77777777" w:rsidTr="00C27E12">
        <w:trPr>
          <w:cantSplit/>
        </w:trPr>
        <w:tc>
          <w:tcPr>
            <w:tcW w:w="4536" w:type="dxa"/>
            <w:shd w:val="clear" w:color="auto" w:fill="auto"/>
          </w:tcPr>
          <w:p w14:paraId="1E16CFC3"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nízký nárůst teploty v operačním poli</w:t>
            </w:r>
          </w:p>
        </w:tc>
        <w:tc>
          <w:tcPr>
            <w:tcW w:w="1276" w:type="dxa"/>
            <w:shd w:val="clear" w:color="auto" w:fill="auto"/>
          </w:tcPr>
          <w:p w14:paraId="6C2D2F46"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1C7B7C8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25A69F6D" w14:textId="77777777" w:rsidTr="00C27E12">
        <w:trPr>
          <w:cantSplit/>
        </w:trPr>
        <w:tc>
          <w:tcPr>
            <w:tcW w:w="4536" w:type="dxa"/>
            <w:shd w:val="clear" w:color="auto" w:fill="auto"/>
          </w:tcPr>
          <w:p w14:paraId="0DCABB3F"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nízký nárůst teploty v oblasti hlavy operatéra</w:t>
            </w:r>
          </w:p>
        </w:tc>
        <w:tc>
          <w:tcPr>
            <w:tcW w:w="1276" w:type="dxa"/>
            <w:shd w:val="clear" w:color="auto" w:fill="auto"/>
          </w:tcPr>
          <w:p w14:paraId="357E1250"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0916A4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50CFA2A" w14:textId="77777777" w:rsidTr="00C27E12">
        <w:trPr>
          <w:cantSplit/>
        </w:trPr>
        <w:tc>
          <w:tcPr>
            <w:tcW w:w="4536" w:type="dxa"/>
            <w:shd w:val="clear" w:color="auto" w:fill="auto"/>
          </w:tcPr>
          <w:p w14:paraId="043EE195"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úhel natočení těla svítidla i ramen o min. 330°</w:t>
            </w:r>
          </w:p>
        </w:tc>
        <w:tc>
          <w:tcPr>
            <w:tcW w:w="1276" w:type="dxa"/>
            <w:shd w:val="clear" w:color="auto" w:fill="auto"/>
          </w:tcPr>
          <w:p w14:paraId="7B60C17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9EA8569"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F23A4E5" w14:textId="77777777" w:rsidTr="00C27E12">
        <w:trPr>
          <w:cantSplit/>
        </w:trPr>
        <w:tc>
          <w:tcPr>
            <w:tcW w:w="4536" w:type="dxa"/>
            <w:shd w:val="clear" w:color="auto" w:fill="auto"/>
          </w:tcPr>
          <w:p w14:paraId="1DE6021D"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neporézní povrchový materiál svítidla pro snadné čištění</w:t>
            </w:r>
          </w:p>
        </w:tc>
        <w:tc>
          <w:tcPr>
            <w:tcW w:w="1276" w:type="dxa"/>
            <w:shd w:val="clear" w:color="auto" w:fill="auto"/>
          </w:tcPr>
          <w:p w14:paraId="1BEBD8BF"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1E6D26E"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6C8E7527" w14:textId="77777777" w:rsidTr="00C27E12">
        <w:trPr>
          <w:cantSplit/>
        </w:trPr>
        <w:tc>
          <w:tcPr>
            <w:tcW w:w="4536" w:type="dxa"/>
            <w:shd w:val="clear" w:color="auto" w:fill="auto"/>
          </w:tcPr>
          <w:p w14:paraId="2579C45A"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 xml:space="preserve">min. 3 sady </w:t>
            </w:r>
            <w:proofErr w:type="spellStart"/>
            <w:r w:rsidRPr="008961B9">
              <w:rPr>
                <w:rFonts w:asciiTheme="minorHAnsi" w:hAnsiTheme="minorHAnsi" w:cstheme="minorHAnsi"/>
                <w:sz w:val="22"/>
                <w:szCs w:val="22"/>
              </w:rPr>
              <w:t>resterilizovatelných</w:t>
            </w:r>
            <w:proofErr w:type="spellEnd"/>
            <w:r w:rsidRPr="008961B9">
              <w:rPr>
                <w:rFonts w:asciiTheme="minorHAnsi" w:hAnsiTheme="minorHAnsi" w:cstheme="minorHAnsi"/>
                <w:sz w:val="22"/>
                <w:szCs w:val="22"/>
              </w:rPr>
              <w:t xml:space="preserve"> rukojetí pro manipulaci s operačním svítidlem</w:t>
            </w:r>
          </w:p>
        </w:tc>
        <w:tc>
          <w:tcPr>
            <w:tcW w:w="1276" w:type="dxa"/>
            <w:shd w:val="clear" w:color="auto" w:fill="auto"/>
          </w:tcPr>
          <w:p w14:paraId="4B6E7E65"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68F3D06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78C61A88" w14:textId="77777777" w:rsidTr="00C27E12">
        <w:trPr>
          <w:cantSplit/>
        </w:trPr>
        <w:tc>
          <w:tcPr>
            <w:tcW w:w="4536" w:type="dxa"/>
            <w:shd w:val="clear" w:color="auto" w:fill="auto"/>
          </w:tcPr>
          <w:p w14:paraId="3031376E"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 xml:space="preserve">rukojeti musí být </w:t>
            </w:r>
            <w:proofErr w:type="spellStart"/>
            <w:r w:rsidRPr="008961B9">
              <w:rPr>
                <w:rFonts w:asciiTheme="minorHAnsi" w:hAnsiTheme="minorHAnsi" w:cstheme="minorHAnsi"/>
                <w:sz w:val="22"/>
                <w:szCs w:val="22"/>
              </w:rPr>
              <w:t>resterilizovatelné</w:t>
            </w:r>
            <w:proofErr w:type="spellEnd"/>
            <w:r w:rsidRPr="008961B9">
              <w:rPr>
                <w:rFonts w:asciiTheme="minorHAnsi" w:hAnsiTheme="minorHAnsi" w:cstheme="minorHAnsi"/>
                <w:sz w:val="22"/>
                <w:szCs w:val="22"/>
              </w:rPr>
              <w:t xml:space="preserve"> </w:t>
            </w:r>
          </w:p>
        </w:tc>
        <w:tc>
          <w:tcPr>
            <w:tcW w:w="1276" w:type="dxa"/>
            <w:shd w:val="clear" w:color="auto" w:fill="auto"/>
          </w:tcPr>
          <w:p w14:paraId="6B283DEA"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01DC3ABD"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4C766A67" w14:textId="77777777" w:rsidTr="00C27E12">
        <w:trPr>
          <w:cantSplit/>
        </w:trPr>
        <w:tc>
          <w:tcPr>
            <w:tcW w:w="4536" w:type="dxa"/>
            <w:shd w:val="clear" w:color="auto" w:fill="auto"/>
          </w:tcPr>
          <w:p w14:paraId="62F4C440"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 xml:space="preserve">počet </w:t>
            </w:r>
            <w:proofErr w:type="spellStart"/>
            <w:r w:rsidRPr="008961B9">
              <w:rPr>
                <w:rFonts w:asciiTheme="minorHAnsi" w:hAnsiTheme="minorHAnsi" w:cstheme="minorHAnsi"/>
                <w:sz w:val="22"/>
                <w:szCs w:val="22"/>
              </w:rPr>
              <w:t>resterilizačních</w:t>
            </w:r>
            <w:proofErr w:type="spellEnd"/>
            <w:r w:rsidRPr="008961B9">
              <w:rPr>
                <w:rFonts w:asciiTheme="minorHAnsi" w:hAnsiTheme="minorHAnsi" w:cstheme="minorHAnsi"/>
                <w:sz w:val="22"/>
                <w:szCs w:val="22"/>
              </w:rPr>
              <w:t xml:space="preserve"> cyklů bude min. 1.000 (deklarováno výrobcem v manuálu)</w:t>
            </w:r>
          </w:p>
        </w:tc>
        <w:tc>
          <w:tcPr>
            <w:tcW w:w="1276" w:type="dxa"/>
            <w:shd w:val="clear" w:color="auto" w:fill="auto"/>
            <w:vAlign w:val="center"/>
          </w:tcPr>
          <w:p w14:paraId="6319AAEE" w14:textId="77777777" w:rsidR="00E743D6" w:rsidRPr="00E743D6" w:rsidRDefault="00E743D6" w:rsidP="00C27E12">
            <w:pPr>
              <w:jc w:val="center"/>
              <w:rPr>
                <w:rFonts w:asciiTheme="minorHAnsi" w:hAnsiTheme="minorHAnsi" w:cstheme="minorHAnsi"/>
                <w:color w:val="FF0000"/>
                <w:szCs w:val="20"/>
              </w:rPr>
            </w:pPr>
          </w:p>
        </w:tc>
        <w:tc>
          <w:tcPr>
            <w:tcW w:w="3821" w:type="dxa"/>
            <w:shd w:val="clear" w:color="auto" w:fill="auto"/>
            <w:vAlign w:val="center"/>
          </w:tcPr>
          <w:p w14:paraId="6ABF6AF0" w14:textId="77777777" w:rsidR="00E743D6" w:rsidRPr="00E743D6" w:rsidRDefault="00E743D6" w:rsidP="00C27E12">
            <w:pPr>
              <w:jc w:val="center"/>
              <w:rPr>
                <w:rFonts w:asciiTheme="minorHAnsi" w:hAnsiTheme="minorHAnsi" w:cstheme="minorHAnsi"/>
                <w:color w:val="FF0000"/>
                <w:szCs w:val="20"/>
              </w:rPr>
            </w:pPr>
          </w:p>
        </w:tc>
      </w:tr>
      <w:tr w:rsidR="00E743D6" w:rsidRPr="00E743D6" w14:paraId="48BF4369" w14:textId="77777777" w:rsidTr="00C27E12">
        <w:trPr>
          <w:cantSplit/>
        </w:trPr>
        <w:tc>
          <w:tcPr>
            <w:tcW w:w="4536" w:type="dxa"/>
            <w:shd w:val="clear" w:color="auto" w:fill="auto"/>
          </w:tcPr>
          <w:p w14:paraId="75DCDCDD"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při provádění oprav musí být možnost výměny jednotlivé LED diody nikoliv celého segmentu</w:t>
            </w:r>
          </w:p>
        </w:tc>
        <w:tc>
          <w:tcPr>
            <w:tcW w:w="1276" w:type="dxa"/>
            <w:shd w:val="clear" w:color="auto" w:fill="auto"/>
          </w:tcPr>
          <w:p w14:paraId="3511F642"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0D21121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r w:rsidR="00E743D6" w:rsidRPr="00E743D6" w14:paraId="0A95F767" w14:textId="77777777" w:rsidTr="00C27E12">
        <w:trPr>
          <w:cantSplit/>
        </w:trPr>
        <w:tc>
          <w:tcPr>
            <w:tcW w:w="4536" w:type="dxa"/>
            <w:shd w:val="clear" w:color="auto" w:fill="auto"/>
          </w:tcPr>
          <w:p w14:paraId="6C89EB2F" w14:textId="77777777" w:rsidR="00E743D6" w:rsidRPr="008961B9" w:rsidRDefault="00E743D6" w:rsidP="00C27E12">
            <w:pPr>
              <w:rPr>
                <w:rFonts w:asciiTheme="minorHAnsi" w:hAnsiTheme="minorHAnsi" w:cstheme="minorHAnsi"/>
                <w:sz w:val="22"/>
                <w:szCs w:val="22"/>
              </w:rPr>
            </w:pPr>
            <w:r w:rsidRPr="008961B9">
              <w:rPr>
                <w:rFonts w:asciiTheme="minorHAnsi" w:hAnsiTheme="minorHAnsi" w:cstheme="minorHAnsi"/>
                <w:sz w:val="22"/>
                <w:szCs w:val="22"/>
              </w:rPr>
              <w:t xml:space="preserve">Dodavatel operačního svítidla provede na vlastní náklady kontrolu stavební připravenosti, elektro-přívodů a kotevních prvků na stávajícím operačním sále. Instalace bude provedena s maximální možnou šetrností a s využitím stávajících kotevních a připojovacích prvků. Související celky jako například povrchy a podhledy budou po instalaci uvedeny do původního stavu. V souvislosti s instalací nového zařízení není plánována jakákoli stavební a stavebně instalační činnost ze strany zadavatele. Na základě toho požaduje zadavatel maximální kompatibilitu se stávajícími parametry (kotevními elementy, mezistropními konstrukcemi, stropními tubusy, </w:t>
            </w:r>
            <w:proofErr w:type="gramStart"/>
            <w:r w:rsidRPr="008961B9">
              <w:rPr>
                <w:rFonts w:asciiTheme="minorHAnsi" w:hAnsiTheme="minorHAnsi" w:cstheme="minorHAnsi"/>
                <w:sz w:val="22"/>
                <w:szCs w:val="22"/>
              </w:rPr>
              <w:t>elektroinstalací,</w:t>
            </w:r>
            <w:proofErr w:type="gramEnd"/>
            <w:r w:rsidRPr="008961B9">
              <w:rPr>
                <w:rFonts w:asciiTheme="minorHAnsi" w:hAnsiTheme="minorHAnsi" w:cstheme="minorHAnsi"/>
                <w:sz w:val="22"/>
                <w:szCs w:val="22"/>
              </w:rPr>
              <w:t xml:space="preserve"> atd.) Všechna nově instalovaná zařízení budou opatřena příslušnými revizními zprávami a obvyklou dokumentací, která odpovídá zákonným normám v době instalace.</w:t>
            </w:r>
          </w:p>
        </w:tc>
        <w:tc>
          <w:tcPr>
            <w:tcW w:w="1276" w:type="dxa"/>
            <w:shd w:val="clear" w:color="auto" w:fill="auto"/>
          </w:tcPr>
          <w:p w14:paraId="02105454"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c>
          <w:tcPr>
            <w:tcW w:w="3821" w:type="dxa"/>
            <w:shd w:val="clear" w:color="auto" w:fill="auto"/>
          </w:tcPr>
          <w:p w14:paraId="477FBD82" w14:textId="77777777" w:rsidR="00E743D6" w:rsidRPr="00E743D6" w:rsidRDefault="00E743D6" w:rsidP="00C27E12">
            <w:pPr>
              <w:jc w:val="center"/>
              <w:rPr>
                <w:rFonts w:asciiTheme="minorHAnsi" w:hAnsiTheme="minorHAnsi" w:cstheme="minorHAnsi"/>
                <w:color w:val="FF0000"/>
                <w:szCs w:val="20"/>
              </w:rPr>
            </w:pPr>
            <w:r w:rsidRPr="00E743D6">
              <w:rPr>
                <w:rFonts w:asciiTheme="minorHAnsi" w:hAnsiTheme="minorHAnsi" w:cstheme="minorHAnsi"/>
                <w:color w:val="FF0000"/>
                <w:szCs w:val="20"/>
              </w:rPr>
              <w:t>(doplní dodavatel)</w:t>
            </w:r>
          </w:p>
        </w:tc>
      </w:tr>
    </w:tbl>
    <w:p w14:paraId="3640E65D" w14:textId="77777777" w:rsidR="00E743D6" w:rsidRPr="00E743D6" w:rsidRDefault="00E743D6" w:rsidP="009942D9">
      <w:pPr>
        <w:pStyle w:val="Nadpis2"/>
        <w:spacing w:before="240"/>
        <w:jc w:val="both"/>
        <w:rPr>
          <w:rFonts w:asciiTheme="minorHAnsi" w:hAnsiTheme="minorHAnsi" w:cstheme="minorHAnsi"/>
          <w:sz w:val="22"/>
          <w:szCs w:val="22"/>
        </w:rPr>
      </w:pPr>
      <w:r w:rsidRPr="00E743D6">
        <w:rPr>
          <w:rFonts w:asciiTheme="minorHAnsi" w:hAnsiTheme="minorHAnsi" w:cstheme="minorHAnsi"/>
          <w:sz w:val="22"/>
          <w:szCs w:val="22"/>
        </w:rPr>
        <w:lastRenderedPageBreak/>
        <w:t>Na všechny číselné parametry je tolerance +/- 10 %, mimo číselné parametry uvedené jako min. nebo max.</w:t>
      </w:r>
    </w:p>
    <w:p w14:paraId="72D23D3F" w14:textId="77777777" w:rsidR="00E743D6" w:rsidRPr="00E743D6" w:rsidRDefault="00E743D6" w:rsidP="00E743D6">
      <w:pPr>
        <w:tabs>
          <w:tab w:val="left" w:pos="1233"/>
        </w:tabs>
        <w:rPr>
          <w:rFonts w:asciiTheme="minorHAnsi" w:hAnsiTheme="minorHAnsi" w:cstheme="minorHAnsi"/>
          <w:lang w:eastAsia="en-US"/>
        </w:rPr>
      </w:pPr>
    </w:p>
    <w:p w14:paraId="5EB7AFF1" w14:textId="77777777" w:rsidR="00FD49E6" w:rsidRPr="00E743D6" w:rsidRDefault="00FD49E6" w:rsidP="002250A0">
      <w:pPr>
        <w:rPr>
          <w:rFonts w:asciiTheme="minorHAnsi" w:hAnsiTheme="minorHAnsi" w:cstheme="minorHAnsi"/>
          <w:lang w:eastAsia="en-US"/>
        </w:rPr>
      </w:pPr>
    </w:p>
    <w:p w14:paraId="47E596FA" w14:textId="77777777" w:rsidR="00FD49E6" w:rsidRPr="00E743D6" w:rsidRDefault="00FD49E6" w:rsidP="002250A0">
      <w:pPr>
        <w:rPr>
          <w:rFonts w:asciiTheme="minorHAnsi" w:hAnsiTheme="minorHAnsi" w:cstheme="minorHAnsi"/>
          <w:lang w:eastAsia="en-US"/>
        </w:rPr>
      </w:pPr>
    </w:p>
    <w:p w14:paraId="589D8240" w14:textId="58F5B987" w:rsidR="000D284B" w:rsidRPr="00E743D6" w:rsidRDefault="000D284B" w:rsidP="000D284B">
      <w:pPr>
        <w:pStyle w:val="Nadpis2"/>
        <w:spacing w:before="240"/>
        <w:rPr>
          <w:rFonts w:asciiTheme="minorHAnsi" w:hAnsiTheme="minorHAnsi" w:cstheme="minorHAnsi"/>
          <w:sz w:val="28"/>
          <w:szCs w:val="28"/>
        </w:rPr>
      </w:pPr>
      <w:r w:rsidRPr="00E743D6">
        <w:rPr>
          <w:rFonts w:asciiTheme="minorHAnsi" w:hAnsiTheme="minorHAnsi" w:cstheme="minorHAnsi"/>
          <w:sz w:val="28"/>
          <w:szCs w:val="28"/>
        </w:rPr>
        <w:t>B)</w:t>
      </w:r>
      <w:r w:rsidRPr="00E743D6">
        <w:rPr>
          <w:rFonts w:asciiTheme="minorHAnsi" w:hAnsiTheme="minorHAnsi" w:cstheme="minorHAnsi"/>
          <w:sz w:val="28"/>
          <w:szCs w:val="28"/>
        </w:rPr>
        <w:tab/>
        <w:t xml:space="preserve">Požadavky, které budou součástí dodávky předmětu plnění </w:t>
      </w:r>
    </w:p>
    <w:p w14:paraId="2D9AC95D" w14:textId="77777777" w:rsidR="000D284B" w:rsidRPr="00E743D6" w:rsidRDefault="000D284B" w:rsidP="000D284B">
      <w:pPr>
        <w:pStyle w:val="Nadpis2"/>
        <w:spacing w:before="240"/>
        <w:rPr>
          <w:rFonts w:asciiTheme="minorHAnsi" w:hAnsiTheme="minorHAnsi" w:cstheme="minorHAnsi"/>
          <w:b w:val="0"/>
          <w:bCs w:val="0"/>
          <w:sz w:val="22"/>
          <w:szCs w:val="22"/>
        </w:rPr>
      </w:pPr>
      <w:r w:rsidRPr="00E743D6">
        <w:rPr>
          <w:rFonts w:asciiTheme="minorHAnsi" w:hAnsiTheme="minorHAnsi" w:cstheme="minorHAnsi"/>
          <w:b w:val="0"/>
          <w:bCs w:val="0"/>
          <w:sz w:val="22"/>
          <w:szCs w:val="22"/>
        </w:rPr>
        <w:t xml:space="preserve">DODAVATEL MÁ POVINNOST VYPLNIT SPLNĚNÍ POŽADAVKU V TABULCE ANO/NE. </w:t>
      </w:r>
    </w:p>
    <w:p w14:paraId="4796CE3D" w14:textId="49B3DECF" w:rsidR="0065447C" w:rsidRPr="00E743D6" w:rsidRDefault="000D284B" w:rsidP="00CD2941">
      <w:pPr>
        <w:pStyle w:val="Nadpis2"/>
        <w:rPr>
          <w:rFonts w:asciiTheme="minorHAnsi" w:hAnsiTheme="minorHAnsi" w:cstheme="minorHAnsi"/>
          <w:b w:val="0"/>
          <w:bCs w:val="0"/>
          <w:sz w:val="22"/>
          <w:szCs w:val="22"/>
        </w:rPr>
      </w:pPr>
      <w:r w:rsidRPr="00E743D6">
        <w:rPr>
          <w:rFonts w:asciiTheme="minorHAnsi" w:hAnsiTheme="minorHAnsi" w:cstheme="minorHAnsi"/>
          <w:b w:val="0"/>
          <w:bCs w:val="0"/>
          <w:sz w:val="22"/>
          <w:szCs w:val="22"/>
        </w:rPr>
        <w:t>SPNĚNÍ UVEDENÝCH POŽADAVKŮ POŽADUJE ZADAVATEL V RÁMCI DODÁVKY PŘEDMĚTU PLNĚNÍ.</w:t>
      </w:r>
    </w:p>
    <w:p w14:paraId="018ECA1C" w14:textId="5DEC36A3" w:rsidR="00CD2941" w:rsidRPr="00E743D6" w:rsidRDefault="00CD2941" w:rsidP="00CD2941">
      <w:pPr>
        <w:rPr>
          <w:rFonts w:asciiTheme="minorHAnsi" w:hAnsiTheme="minorHAnsi" w:cstheme="minorHAnsi"/>
          <w:lang w:eastAsia="en-US"/>
        </w:rPr>
      </w:pPr>
    </w:p>
    <w:p w14:paraId="26B379C5" w14:textId="4E534D23" w:rsidR="000D284B" w:rsidRPr="00E743D6" w:rsidRDefault="000D284B" w:rsidP="000D284B">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E743D6"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E743D6" w:rsidRDefault="000D284B" w:rsidP="000D284B">
            <w:pPr>
              <w:keepNext/>
              <w:spacing w:line="276" w:lineRule="auto"/>
              <w:jc w:val="center"/>
              <w:outlineLvl w:val="5"/>
              <w:rPr>
                <w:rFonts w:asciiTheme="minorHAnsi" w:eastAsia="Calibri" w:hAnsiTheme="minorHAnsi" w:cstheme="minorHAnsi"/>
                <w:b/>
                <w:sz w:val="22"/>
                <w:szCs w:val="22"/>
                <w:lang w:eastAsia="en-US"/>
              </w:rPr>
            </w:pPr>
            <w:r w:rsidRPr="00E743D6">
              <w:rPr>
                <w:rFonts w:asciiTheme="minorHAnsi" w:hAnsiTheme="minorHAnsi" w:cstheme="minorHAns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E743D6" w:rsidRDefault="000D284B" w:rsidP="000D284B">
            <w:pPr>
              <w:jc w:val="center"/>
              <w:rPr>
                <w:rFonts w:asciiTheme="minorHAnsi" w:hAnsiTheme="minorHAnsi" w:cstheme="minorHAnsi"/>
              </w:rPr>
            </w:pPr>
            <w:r w:rsidRPr="00E743D6">
              <w:rPr>
                <w:rFonts w:asciiTheme="minorHAnsi" w:hAnsiTheme="minorHAnsi" w:cstheme="minorHAnsi"/>
                <w:b/>
                <w:sz w:val="22"/>
                <w:szCs w:val="22"/>
              </w:rPr>
              <w:t>Splnění požadavku ANO/NE</w:t>
            </w:r>
          </w:p>
        </w:tc>
      </w:tr>
      <w:tr w:rsidR="00E743D6" w:rsidRPr="00E743D6" w14:paraId="68E1AC65" w14:textId="77777777" w:rsidTr="00AE2D61">
        <w:trPr>
          <w:jc w:val="center"/>
        </w:trPr>
        <w:tc>
          <w:tcPr>
            <w:tcW w:w="7225" w:type="dxa"/>
            <w:shd w:val="clear" w:color="auto" w:fill="auto"/>
            <w:vAlign w:val="center"/>
          </w:tcPr>
          <w:p w14:paraId="6A6E1F5C" w14:textId="77777777" w:rsidR="00E743D6" w:rsidRPr="00E743D6" w:rsidRDefault="00E743D6" w:rsidP="00E743D6">
            <w:pPr>
              <w:rPr>
                <w:rFonts w:asciiTheme="minorHAnsi" w:hAnsiTheme="minorHAnsi" w:cstheme="minorHAnsi"/>
              </w:rPr>
            </w:pPr>
            <w:r w:rsidRPr="00E743D6">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43D282D2" w:rsidR="00E743D6" w:rsidRPr="00E743D6" w:rsidRDefault="00E743D6" w:rsidP="00E743D6">
            <w:pPr>
              <w:jc w:val="center"/>
              <w:rPr>
                <w:rFonts w:asciiTheme="minorHAnsi" w:hAnsiTheme="minorHAnsi" w:cstheme="minorHAnsi"/>
              </w:rPr>
            </w:pPr>
            <w:r w:rsidRPr="00E743D6">
              <w:rPr>
                <w:rFonts w:asciiTheme="minorHAnsi" w:hAnsiTheme="minorHAnsi" w:cstheme="minorHAnsi"/>
                <w:color w:val="FF0000"/>
                <w:szCs w:val="20"/>
              </w:rPr>
              <w:t>(doplní dodavatel)</w:t>
            </w:r>
          </w:p>
        </w:tc>
      </w:tr>
      <w:tr w:rsidR="00E743D6" w:rsidRPr="00E743D6" w14:paraId="313AE7E6" w14:textId="77777777" w:rsidTr="00AE2D61">
        <w:trPr>
          <w:jc w:val="center"/>
        </w:trPr>
        <w:tc>
          <w:tcPr>
            <w:tcW w:w="7225" w:type="dxa"/>
            <w:shd w:val="clear" w:color="auto" w:fill="auto"/>
            <w:vAlign w:val="center"/>
          </w:tcPr>
          <w:p w14:paraId="349F8771" w14:textId="77777777" w:rsidR="00E743D6" w:rsidRPr="00E743D6" w:rsidRDefault="00E743D6" w:rsidP="00E743D6">
            <w:pPr>
              <w:rPr>
                <w:rFonts w:asciiTheme="minorHAnsi" w:hAnsiTheme="minorHAnsi" w:cstheme="minorHAnsi"/>
              </w:rPr>
            </w:pPr>
            <w:r w:rsidRPr="00E743D6">
              <w:rPr>
                <w:rFonts w:asciiTheme="minorHAnsi" w:hAnsiTheme="minorHAnsi" w:cstheme="minorHAnsi"/>
                <w:sz w:val="22"/>
                <w:szCs w:val="22"/>
              </w:rPr>
              <w:t>Dodání návodu k použití v ČJ a prohlášení o shodě v papírové i elektronické verzi.</w:t>
            </w:r>
          </w:p>
        </w:tc>
        <w:tc>
          <w:tcPr>
            <w:tcW w:w="2414" w:type="dxa"/>
            <w:shd w:val="clear" w:color="auto" w:fill="auto"/>
            <w:vAlign w:val="center"/>
          </w:tcPr>
          <w:p w14:paraId="671BD157" w14:textId="7DF17ABE" w:rsidR="00E743D6" w:rsidRPr="00E743D6" w:rsidRDefault="00E743D6" w:rsidP="00E743D6">
            <w:pPr>
              <w:jc w:val="center"/>
              <w:rPr>
                <w:rFonts w:asciiTheme="minorHAnsi" w:hAnsiTheme="minorHAnsi" w:cstheme="minorHAnsi"/>
              </w:rPr>
            </w:pPr>
            <w:r w:rsidRPr="00E743D6">
              <w:rPr>
                <w:rFonts w:asciiTheme="minorHAnsi" w:hAnsiTheme="minorHAnsi" w:cstheme="minorHAnsi"/>
                <w:color w:val="FF0000"/>
                <w:szCs w:val="20"/>
              </w:rPr>
              <w:t>(doplní dodavatel)</w:t>
            </w:r>
          </w:p>
        </w:tc>
      </w:tr>
      <w:tr w:rsidR="00E743D6" w:rsidRPr="00E743D6" w14:paraId="6D706D4A" w14:textId="77777777" w:rsidTr="00AE2D61">
        <w:trPr>
          <w:jc w:val="center"/>
        </w:trPr>
        <w:tc>
          <w:tcPr>
            <w:tcW w:w="7225" w:type="dxa"/>
            <w:shd w:val="clear" w:color="auto" w:fill="auto"/>
            <w:vAlign w:val="center"/>
          </w:tcPr>
          <w:p w14:paraId="3BDF2E9C" w14:textId="77777777" w:rsidR="00E743D6" w:rsidRPr="00E743D6" w:rsidRDefault="00E743D6" w:rsidP="00E743D6">
            <w:pPr>
              <w:rPr>
                <w:rFonts w:asciiTheme="minorHAnsi" w:hAnsiTheme="minorHAnsi" w:cstheme="minorHAnsi"/>
              </w:rPr>
            </w:pPr>
            <w:r w:rsidRPr="00E743D6">
              <w:rPr>
                <w:rFonts w:asciiTheme="minorHAnsi" w:hAnsiTheme="minorHAnsi" w:cstheme="minorHAnsi"/>
                <w:sz w:val="22"/>
                <w:szCs w:val="22"/>
              </w:rPr>
              <w:t>Provedení zaškolení (instruktáže) obsluhy včetně vyhotovení zápisu.</w:t>
            </w:r>
          </w:p>
        </w:tc>
        <w:tc>
          <w:tcPr>
            <w:tcW w:w="2414" w:type="dxa"/>
            <w:shd w:val="clear" w:color="auto" w:fill="auto"/>
            <w:vAlign w:val="center"/>
          </w:tcPr>
          <w:p w14:paraId="7C0BD828" w14:textId="33FEBDAA" w:rsidR="00E743D6" w:rsidRPr="00E743D6" w:rsidRDefault="00E743D6" w:rsidP="00E743D6">
            <w:pPr>
              <w:jc w:val="center"/>
              <w:rPr>
                <w:rFonts w:asciiTheme="minorHAnsi" w:hAnsiTheme="minorHAnsi" w:cstheme="minorHAnsi"/>
              </w:rPr>
            </w:pPr>
            <w:r w:rsidRPr="00E743D6">
              <w:rPr>
                <w:rFonts w:asciiTheme="minorHAnsi" w:hAnsiTheme="minorHAnsi" w:cstheme="minorHAnsi"/>
                <w:color w:val="FF0000"/>
                <w:szCs w:val="20"/>
              </w:rPr>
              <w:t>(doplní dodavatel)</w:t>
            </w:r>
          </w:p>
        </w:tc>
      </w:tr>
      <w:tr w:rsidR="00E743D6" w:rsidRPr="00E743D6" w14:paraId="51D03D7C" w14:textId="77777777" w:rsidTr="00AE2D61">
        <w:trPr>
          <w:jc w:val="center"/>
        </w:trPr>
        <w:tc>
          <w:tcPr>
            <w:tcW w:w="7225" w:type="dxa"/>
            <w:shd w:val="clear" w:color="auto" w:fill="auto"/>
            <w:vAlign w:val="center"/>
          </w:tcPr>
          <w:p w14:paraId="0D1DAC58" w14:textId="437BF9E6" w:rsidR="00E743D6" w:rsidRPr="00E743D6" w:rsidRDefault="00E743D6" w:rsidP="00E743D6">
            <w:pPr>
              <w:rPr>
                <w:rFonts w:asciiTheme="minorHAnsi" w:hAnsiTheme="minorHAnsi" w:cstheme="minorHAnsi"/>
              </w:rPr>
            </w:pPr>
            <w:r w:rsidRPr="00E743D6">
              <w:rPr>
                <w:rFonts w:asciiTheme="minorHAnsi" w:hAnsiTheme="minorHAnsi" w:cstheme="minorHAnsi"/>
                <w:sz w:val="22"/>
                <w:szCs w:val="22"/>
              </w:rPr>
              <w:t>Dodání oprávnění školitele (od výrobce) k</w:t>
            </w:r>
            <w:r w:rsidR="0025203B">
              <w:rPr>
                <w:rFonts w:asciiTheme="minorHAnsi" w:hAnsiTheme="minorHAnsi" w:cstheme="minorHAnsi"/>
                <w:sz w:val="22"/>
                <w:szCs w:val="22"/>
              </w:rPr>
              <w:t> </w:t>
            </w:r>
            <w:r w:rsidRPr="00E743D6">
              <w:rPr>
                <w:rFonts w:asciiTheme="minorHAnsi" w:hAnsiTheme="minorHAnsi" w:cstheme="minorHAnsi"/>
                <w:sz w:val="22"/>
                <w:szCs w:val="22"/>
              </w:rPr>
              <w:t>provádění</w:t>
            </w:r>
            <w:r w:rsidR="0025203B">
              <w:rPr>
                <w:rFonts w:asciiTheme="minorHAnsi" w:hAnsiTheme="minorHAnsi" w:cstheme="minorHAnsi"/>
                <w:sz w:val="22"/>
                <w:szCs w:val="22"/>
              </w:rPr>
              <w:t xml:space="preserve"> školení (</w:t>
            </w:r>
            <w:r w:rsidRPr="00E743D6">
              <w:rPr>
                <w:rFonts w:asciiTheme="minorHAnsi" w:hAnsiTheme="minorHAnsi" w:cstheme="minorHAnsi"/>
                <w:sz w:val="22"/>
                <w:szCs w:val="22"/>
              </w:rPr>
              <w:t>instruktáže</w:t>
            </w:r>
            <w:r w:rsidR="0025203B">
              <w:rPr>
                <w:rFonts w:asciiTheme="minorHAnsi" w:hAnsiTheme="minorHAnsi" w:cstheme="minorHAnsi"/>
                <w:sz w:val="22"/>
                <w:szCs w:val="22"/>
              </w:rPr>
              <w:t>)</w:t>
            </w:r>
            <w:r w:rsidRPr="00E743D6">
              <w:rPr>
                <w:rFonts w:asciiTheme="minorHAnsi" w:hAnsiTheme="minorHAnsi" w:cstheme="minorHAnsi"/>
                <w:sz w:val="22"/>
                <w:szCs w:val="22"/>
              </w:rPr>
              <w:t>.</w:t>
            </w:r>
          </w:p>
        </w:tc>
        <w:tc>
          <w:tcPr>
            <w:tcW w:w="2414" w:type="dxa"/>
            <w:shd w:val="clear" w:color="auto" w:fill="auto"/>
            <w:vAlign w:val="center"/>
          </w:tcPr>
          <w:p w14:paraId="46695435" w14:textId="4EBEF94D" w:rsidR="00E743D6" w:rsidRPr="00E743D6" w:rsidRDefault="00E743D6" w:rsidP="00E743D6">
            <w:pPr>
              <w:jc w:val="center"/>
              <w:rPr>
                <w:rFonts w:asciiTheme="minorHAnsi" w:hAnsiTheme="minorHAnsi" w:cstheme="minorHAnsi"/>
              </w:rPr>
            </w:pPr>
            <w:r w:rsidRPr="00E743D6">
              <w:rPr>
                <w:rFonts w:asciiTheme="minorHAnsi" w:hAnsiTheme="minorHAnsi" w:cstheme="minorHAnsi"/>
                <w:color w:val="FF0000"/>
                <w:szCs w:val="20"/>
              </w:rPr>
              <w:t>(doplní dodavatel)</w:t>
            </w:r>
          </w:p>
        </w:tc>
      </w:tr>
      <w:tr w:rsidR="00E743D6" w:rsidRPr="00E743D6" w14:paraId="76C3E76A" w14:textId="77777777" w:rsidTr="00AE2D61">
        <w:trPr>
          <w:jc w:val="center"/>
        </w:trPr>
        <w:tc>
          <w:tcPr>
            <w:tcW w:w="7225" w:type="dxa"/>
            <w:shd w:val="clear" w:color="auto" w:fill="auto"/>
            <w:vAlign w:val="center"/>
          </w:tcPr>
          <w:p w14:paraId="3CD39BC8" w14:textId="77777777" w:rsidR="00E743D6" w:rsidRPr="00E743D6" w:rsidRDefault="00E743D6" w:rsidP="00E743D6">
            <w:pPr>
              <w:rPr>
                <w:rFonts w:asciiTheme="minorHAnsi" w:hAnsiTheme="minorHAnsi" w:cstheme="minorHAnsi"/>
              </w:rPr>
            </w:pPr>
            <w:r w:rsidRPr="00E743D6">
              <w:rPr>
                <w:rFonts w:asciiTheme="minorHAnsi" w:hAnsiTheme="minorHAnsi" w:cstheme="minorHAnsi"/>
                <w:sz w:val="22"/>
                <w:szCs w:val="22"/>
              </w:rPr>
              <w:t>Dodání dokumentace prokazující oprávnění k údržbě dodaného zdravotnického prostředku.</w:t>
            </w:r>
          </w:p>
        </w:tc>
        <w:tc>
          <w:tcPr>
            <w:tcW w:w="2414" w:type="dxa"/>
            <w:shd w:val="clear" w:color="auto" w:fill="auto"/>
            <w:vAlign w:val="center"/>
          </w:tcPr>
          <w:p w14:paraId="1D0C2A6A" w14:textId="0F6ED0F3" w:rsidR="00E743D6" w:rsidRPr="00E743D6" w:rsidRDefault="00E743D6" w:rsidP="00E743D6">
            <w:pPr>
              <w:jc w:val="center"/>
              <w:rPr>
                <w:rFonts w:asciiTheme="minorHAnsi" w:hAnsiTheme="minorHAnsi" w:cstheme="minorHAnsi"/>
              </w:rPr>
            </w:pPr>
            <w:r w:rsidRPr="00E743D6">
              <w:rPr>
                <w:rFonts w:asciiTheme="minorHAnsi" w:hAnsiTheme="minorHAnsi" w:cstheme="minorHAnsi"/>
                <w:color w:val="FF0000"/>
                <w:szCs w:val="20"/>
              </w:rPr>
              <w:t>(doplní dodavatel)</w:t>
            </w:r>
          </w:p>
        </w:tc>
      </w:tr>
    </w:tbl>
    <w:p w14:paraId="6CC317FF" w14:textId="77777777" w:rsidR="000D284B" w:rsidRPr="00E743D6" w:rsidRDefault="000D284B" w:rsidP="000D284B">
      <w:pPr>
        <w:rPr>
          <w:rFonts w:asciiTheme="minorHAnsi" w:hAnsiTheme="minorHAnsi" w:cstheme="minorHAnsi"/>
          <w:lang w:eastAsia="en-US"/>
        </w:rPr>
      </w:pPr>
    </w:p>
    <w:sectPr w:rsidR="000D284B" w:rsidRPr="00E743D6"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456B37E" w:rsidR="006518A6" w:rsidRDefault="00124B23" w:rsidP="00C95D5F">
    <w:pPr>
      <w:pStyle w:val="Zhlav"/>
      <w:jc w:val="both"/>
    </w:pPr>
    <w:r>
      <w:rPr>
        <w:noProof/>
      </w:rPr>
      <w:drawing>
        <wp:anchor distT="0" distB="0" distL="114300" distR="114300" simplePos="0" relativeHeight="251660288" behindDoc="0" locked="0" layoutInCell="1" allowOverlap="1" wp14:anchorId="25D1CC1F" wp14:editId="18AE6E46">
          <wp:simplePos x="0" y="0"/>
          <wp:positionH relativeFrom="margin">
            <wp:posOffset>-106680</wp:posOffset>
          </wp:positionH>
          <wp:positionV relativeFrom="paragraph">
            <wp:posOffset>-84455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3618314" wp14:editId="1CC9B485">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802312894">
    <w:abstractNumId w:val="2"/>
  </w:num>
  <w:num w:numId="2" w16cid:durableId="1969241540">
    <w:abstractNumId w:val="19"/>
  </w:num>
  <w:num w:numId="3" w16cid:durableId="761532779">
    <w:abstractNumId w:val="23"/>
  </w:num>
  <w:num w:numId="4" w16cid:durableId="1385300464">
    <w:abstractNumId w:val="10"/>
  </w:num>
  <w:num w:numId="5" w16cid:durableId="28184317">
    <w:abstractNumId w:val="7"/>
  </w:num>
  <w:num w:numId="6" w16cid:durableId="655886933">
    <w:abstractNumId w:val="11"/>
  </w:num>
  <w:num w:numId="7" w16cid:durableId="1904949826">
    <w:abstractNumId w:val="11"/>
  </w:num>
  <w:num w:numId="8" w16cid:durableId="336347518">
    <w:abstractNumId w:val="22"/>
  </w:num>
  <w:num w:numId="9" w16cid:durableId="1096097631">
    <w:abstractNumId w:val="3"/>
  </w:num>
  <w:num w:numId="10" w16cid:durableId="1328292729">
    <w:abstractNumId w:val="16"/>
  </w:num>
  <w:num w:numId="11" w16cid:durableId="1082531679">
    <w:abstractNumId w:val="15"/>
  </w:num>
  <w:num w:numId="12" w16cid:durableId="1146895247">
    <w:abstractNumId w:val="21"/>
  </w:num>
  <w:num w:numId="13" w16cid:durableId="1313411948">
    <w:abstractNumId w:val="8"/>
  </w:num>
  <w:num w:numId="14" w16cid:durableId="1420835550">
    <w:abstractNumId w:val="18"/>
  </w:num>
  <w:num w:numId="15" w16cid:durableId="2011368423">
    <w:abstractNumId w:val="20"/>
  </w:num>
  <w:num w:numId="16" w16cid:durableId="1000767234">
    <w:abstractNumId w:val="12"/>
  </w:num>
  <w:num w:numId="17" w16cid:durableId="1821580825">
    <w:abstractNumId w:val="13"/>
  </w:num>
  <w:num w:numId="18" w16cid:durableId="824054995">
    <w:abstractNumId w:val="9"/>
  </w:num>
  <w:num w:numId="19" w16cid:durableId="339819513">
    <w:abstractNumId w:val="4"/>
  </w:num>
  <w:num w:numId="20" w16cid:durableId="352994470">
    <w:abstractNumId w:val="24"/>
  </w:num>
  <w:num w:numId="21" w16cid:durableId="1799372613">
    <w:abstractNumId w:val="14"/>
  </w:num>
  <w:num w:numId="22" w16cid:durableId="634330954">
    <w:abstractNumId w:val="17"/>
  </w:num>
  <w:num w:numId="23" w16cid:durableId="939601739">
    <w:abstractNumId w:val="6"/>
  </w:num>
  <w:num w:numId="24" w16cid:durableId="1137381663">
    <w:abstractNumId w:val="1"/>
  </w:num>
  <w:num w:numId="25" w16cid:durableId="440227672">
    <w:abstractNumId w:val="5"/>
  </w:num>
  <w:num w:numId="26" w16cid:durableId="206058737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203B"/>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8651A"/>
    <w:rsid w:val="004960E7"/>
    <w:rsid w:val="004B40A7"/>
    <w:rsid w:val="004C57F4"/>
    <w:rsid w:val="004C65DC"/>
    <w:rsid w:val="004C7710"/>
    <w:rsid w:val="004C7980"/>
    <w:rsid w:val="004D1917"/>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097"/>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961B9"/>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942D9"/>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3A"/>
    <w:rsid w:val="00CF60CC"/>
    <w:rsid w:val="00D07B2A"/>
    <w:rsid w:val="00D134B7"/>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743D6"/>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250"/>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1378</Words>
  <Characters>8132</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cp:revision>
  <dcterms:created xsi:type="dcterms:W3CDTF">2022-07-30T23:19:00Z</dcterms:created>
  <dcterms:modified xsi:type="dcterms:W3CDTF">2022-07-30T23:19:00Z</dcterms:modified>
</cp:coreProperties>
</file>